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400"/>
        <w:jc w:val="center"/>
      </w:pPr>
      <w:r>
        <w:rPr>
          <w:rFonts w:ascii="Calibri" w:cs="Calibri" w:eastAsia="Calibri" w:hAnsi="Calibri"/>
          <w:b/>
          <w:bCs/>
          <w:color w:val="1F3864"/>
          <w:sz w:val="44"/>
          <w:szCs w:val="44"/>
        </w:rPr>
        <w:t xml:space="preserve">IDM Engineering (Chester) Ltd</w:t>
      </w:r>
    </w:p>
    <w:p>
      <w:pPr>
        <w:spacing w:after="40"/>
        <w:jc w:val="center"/>
      </w:pPr>
      <w:r>
        <w:rPr>
          <w:rFonts w:ascii="Calibri" w:cs="Calibri" w:eastAsia="Calibri" w:hAnsi="Calibri"/>
          <w:b/>
          <w:bCs/>
          <w:sz w:val="32"/>
          <w:szCs w:val="32"/>
        </w:rPr>
        <w:t xml:space="preserve">Factory Production Control &amp; Welding Quality Manual</w:t>
      </w:r>
    </w:p>
    <w:p>
      <w:pPr>
        <w:pBdr>
          <w:bottom w:val="single" w:color="1F3864" w:sz="8"/>
        </w:pBdr>
        <w:spacing w:after="400"/>
        <w:jc w:val="center"/>
      </w:pPr>
      <w:r>
        <w:rPr>
          <w:sz w:val="20"/>
          <w:szCs w:val="20"/>
        </w:rPr>
        <w:t xml:space="preserve"/>
      </w:r>
    </w:p>
    <w:p>
      <w:pPr>
        <w:spacing w:after="60"/>
        <w:jc w:val="center"/>
      </w:pPr>
      <w:r>
        <w:rPr>
          <w:rFonts w:ascii="Calibri" w:cs="Calibri" w:eastAsia="Calibri" w:hAnsi="Calibri"/>
          <w:i/>
          <w:iCs/>
          <w:color w:val="595959"/>
          <w:sz w:val="22"/>
          <w:szCs w:val="22"/>
        </w:rPr>
        <w:t xml:space="preserve">Covering:</w:t>
      </w:r>
    </w:p>
    <w:p>
      <w:pPr>
        <w:spacing w:after="40"/>
        <w:jc w:val="center"/>
      </w:pPr>
      <w:r>
        <w:rPr>
          <w:rFonts w:ascii="Calibri" w:cs="Calibri" w:eastAsia="Calibri" w:hAnsi="Calibri"/>
          <w:sz w:val="22"/>
          <w:szCs w:val="22"/>
        </w:rPr>
        <w:t xml:space="preserve">BS EN 1090-1 / -2  —  Factory Production Control &amp; execution of steel structures</w:t>
      </w:r>
    </w:p>
    <w:p>
      <w:pPr>
        <w:spacing w:after="40"/>
        <w:jc w:val="center"/>
      </w:pPr>
      <w:r>
        <w:rPr>
          <w:rFonts w:ascii="Calibri" w:cs="Calibri" w:eastAsia="Calibri" w:hAnsi="Calibri"/>
          <w:sz w:val="22"/>
          <w:szCs w:val="22"/>
        </w:rPr>
        <w:t xml:space="preserve">BS EN ISO 3834-2  —  Comprehensive quality requirements for fusion welding</w:t>
      </w:r>
    </w:p>
    <w:p>
      <w:pPr>
        <w:spacing w:after="40"/>
        <w:jc w:val="center"/>
      </w:pPr>
      <w:r>
        <w:rPr>
          <w:rFonts w:ascii="Calibri" w:cs="Calibri" w:eastAsia="Calibri" w:hAnsi="Calibri"/>
          <w:sz w:val="22"/>
          <w:szCs w:val="22"/>
        </w:rPr>
        <w:t xml:space="preserve">BS EN 15085-2  —  Welding of railway vehicles and components (CL2)</w:t>
      </w:r>
    </w:p>
    <w:p>
      <w:pPr>
        <w:spacing w:before="600"/>
        <w:jc w:val="center"/>
      </w:pPr>
      <w:r>
        <w:rPr>
          <w:rFonts w:ascii="Calibri" w:cs="Calibri" w:eastAsia="Calibri" w:hAnsi="Calibri"/>
          <w:color w:val="595959"/>
          <w:sz w:val="20"/>
          <w:szCs w:val="20"/>
        </w:rPr>
        <w:t xml:space="preserve">Document ref: IDM-FPC-WQM-001   |   Revision 4 — DRAFT for RWC review and acceptance   |   21/08/2026</w:t>
      </w:r>
    </w:p>
    <w:p>
      <w:pPr>
        <w:spacing w:after="100" w:before="500"/>
      </w:pPr>
      <w:r>
        <w:rPr>
          <w:rFonts w:ascii="Calibri" w:cs="Calibri" w:eastAsia="Calibri" w:hAnsi="Calibri"/>
          <w:b/>
          <w:bCs/>
          <w:color w:val="1F3864"/>
          <w:sz w:val="22"/>
          <w:szCs w:val="22"/>
        </w:rPr>
        <w:t xml:space="preserve">Revision history</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700"/>
        <w:gridCol w:w="4200"/>
        <w:gridCol w:w="1900"/>
        <w:gridCol w:w="1700"/>
        <w:gridCol w:w="1500"/>
      </w:tblGrid>
      <w:tr>
        <w:trPr>
          <w:tblHeader/>
        </w:trPr>
        <w:tc>
          <w:tcPr>
            <w:tcW w:type="dxa" w:w="700"/>
            <w:shd w:fill="1F3864" w:val="clear"/>
            <w:tcMar>
              <w:top w:type="dxa" w:w="40"/>
              <w:left w:type="dxa" w:w="80"/>
              <w:bottom w:type="dxa" w:w="40"/>
              <w:right w:type="dxa" w:w="80"/>
            </w:tcMar>
          </w:tcPr>
          <w:p>
            <w:r>
              <w:rPr>
                <w:rFonts w:ascii="Calibri" w:cs="Calibri" w:eastAsia="Calibri" w:hAnsi="Calibri"/>
                <w:b/>
                <w:bCs/>
                <w:color w:val="FFFFFF"/>
                <w:sz w:val="18"/>
                <w:szCs w:val="18"/>
              </w:rPr>
              <w:t xml:space="preserve">Rev</w:t>
            </w:r>
          </w:p>
        </w:tc>
        <w:tc>
          <w:tcPr>
            <w:tcW w:type="dxa" w:w="4200"/>
            <w:shd w:fill="1F3864" w:val="clear"/>
            <w:tcMar>
              <w:top w:type="dxa" w:w="40"/>
              <w:left w:type="dxa" w:w="80"/>
              <w:bottom w:type="dxa" w:w="40"/>
              <w:right w:type="dxa" w:w="80"/>
            </w:tcMar>
          </w:tcPr>
          <w:p>
            <w:r>
              <w:rPr>
                <w:rFonts w:ascii="Calibri" w:cs="Calibri" w:eastAsia="Calibri" w:hAnsi="Calibri"/>
                <w:b/>
                <w:bCs/>
                <w:color w:val="FFFFFF"/>
                <w:sz w:val="18"/>
                <w:szCs w:val="18"/>
              </w:rPr>
              <w:t xml:space="preserve">Description</w:t>
            </w:r>
          </w:p>
        </w:tc>
        <w:tc>
          <w:tcPr>
            <w:tcW w:type="dxa" w:w="1900"/>
            <w:shd w:fill="1F3864" w:val="clear"/>
            <w:tcMar>
              <w:top w:type="dxa" w:w="40"/>
              <w:left w:type="dxa" w:w="80"/>
              <w:bottom w:type="dxa" w:w="40"/>
              <w:right w:type="dxa" w:w="80"/>
            </w:tcMar>
          </w:tcPr>
          <w:p>
            <w:r>
              <w:rPr>
                <w:rFonts w:ascii="Calibri" w:cs="Calibri" w:eastAsia="Calibri" w:hAnsi="Calibri"/>
                <w:b/>
                <w:bCs/>
                <w:color w:val="FFFFFF"/>
                <w:sz w:val="18"/>
                <w:szCs w:val="18"/>
              </w:rPr>
              <w:t xml:space="preserve">Issued by</w:t>
            </w:r>
          </w:p>
        </w:tc>
        <w:tc>
          <w:tcPr>
            <w:tcW w:type="dxa" w:w="1700"/>
            <w:shd w:fill="1F3864" w:val="clear"/>
            <w:tcMar>
              <w:top w:type="dxa" w:w="40"/>
              <w:left w:type="dxa" w:w="80"/>
              <w:bottom w:type="dxa" w:w="40"/>
              <w:right w:type="dxa" w:w="80"/>
            </w:tcMar>
          </w:tcPr>
          <w:p>
            <w:r>
              <w:rPr>
                <w:rFonts w:ascii="Calibri" w:cs="Calibri" w:eastAsia="Calibri" w:hAnsi="Calibri"/>
                <w:b/>
                <w:bCs/>
                <w:color w:val="FFFFFF"/>
                <w:sz w:val="18"/>
                <w:szCs w:val="18"/>
              </w:rPr>
              <w:t xml:space="preserve">Accepted by</w:t>
            </w:r>
          </w:p>
        </w:tc>
        <w:tc>
          <w:tcPr>
            <w:tcW w:type="dxa" w:w="1500"/>
            <w:shd w:fill="1F3864" w:val="clear"/>
            <w:tcMar>
              <w:top w:type="dxa" w:w="40"/>
              <w:left w:type="dxa" w:w="80"/>
              <w:bottom w:type="dxa" w:w="40"/>
              <w:right w:type="dxa" w:w="80"/>
            </w:tcMar>
          </w:tcPr>
          <w:p>
            <w:r>
              <w:rPr>
                <w:rFonts w:ascii="Calibri" w:cs="Calibri" w:eastAsia="Calibri" w:hAnsi="Calibri"/>
                <w:b/>
                <w:bCs/>
                <w:color w:val="FFFFFF"/>
                <w:sz w:val="18"/>
                <w:szCs w:val="18"/>
              </w:rPr>
              <w:t xml:space="preserve">Date</w:t>
            </w:r>
          </w:p>
        </w:tc>
      </w:tr>
      <w:tr>
        <w:trPr>
          <w:tblHeader w:val="false"/>
        </w:trPr>
        <w:tc>
          <w:tcPr>
            <w:tcW w:type="dxa" w:w="700"/>
            <w:tcMar>
              <w:top w:type="dxa" w:w="40"/>
              <w:left w:type="dxa" w:w="80"/>
              <w:bottom w:type="dxa" w:w="40"/>
              <w:right w:type="dxa" w:w="80"/>
            </w:tcMar>
          </w:tcPr>
          <w:p>
            <w:r>
              <w:rPr>
                <w:rFonts w:ascii="Calibri" w:cs="Calibri" w:eastAsia="Calibri" w:hAnsi="Calibri"/>
                <w:b w:val="false"/>
                <w:bCs w:val="false"/>
                <w:sz w:val="18"/>
                <w:szCs w:val="18"/>
              </w:rPr>
              <w:t xml:space="preserve">0</w:t>
            </w:r>
          </w:p>
        </w:tc>
        <w:tc>
          <w:tcPr>
            <w:tcW w:type="dxa" w:w="4200"/>
            <w:tcMar>
              <w:top w:type="dxa" w:w="40"/>
              <w:left w:type="dxa" w:w="80"/>
              <w:bottom w:type="dxa" w:w="40"/>
              <w:right w:type="dxa" w:w="80"/>
            </w:tcMar>
          </w:tcPr>
          <w:p>
            <w:r>
              <w:rPr>
                <w:rFonts w:ascii="Calibri" w:cs="Calibri" w:eastAsia="Calibri" w:hAnsi="Calibri"/>
                <w:b w:val="false"/>
                <w:bCs w:val="false"/>
                <w:sz w:val="18"/>
                <w:szCs w:val="18"/>
              </w:rPr>
              <w:t xml:space="preserve">First issued (ISO 3834-2 welding manual)</w:t>
            </w:r>
          </w:p>
        </w:tc>
        <w:tc>
          <w:tcPr>
            <w:tcW w:type="dxa" w:w="1900"/>
            <w:tcMar>
              <w:top w:type="dxa" w:w="40"/>
              <w:left w:type="dxa" w:w="80"/>
              <w:bottom w:type="dxa" w:w="40"/>
              <w:right w:type="dxa" w:w="80"/>
            </w:tcMar>
          </w:tcPr>
          <w:p>
            <w:r>
              <w:rPr>
                <w:rFonts w:ascii="Calibri" w:cs="Calibri" w:eastAsia="Calibri" w:hAnsi="Calibri"/>
                <w:b w:val="false"/>
                <w:bCs w:val="false"/>
                <w:sz w:val="18"/>
                <w:szCs w:val="18"/>
              </w:rPr>
              <w:t xml:space="preserve">J. P. Bailey</w:t>
            </w:r>
          </w:p>
        </w:tc>
        <w:tc>
          <w:tcPr>
            <w:tcW w:type="dxa" w:w="1700"/>
            <w:tcMar>
              <w:top w:type="dxa" w:w="40"/>
              <w:left w:type="dxa" w:w="80"/>
              <w:bottom w:type="dxa" w:w="40"/>
              <w:right w:type="dxa" w:w="80"/>
            </w:tcMar>
          </w:tcPr>
          <w:p>
            <w:r>
              <w:rPr>
                <w:rFonts w:ascii="Calibri" w:cs="Calibri" w:eastAsia="Calibri" w:hAnsi="Calibri"/>
                <w:b w:val="false"/>
                <w:bCs w:val="false"/>
                <w:sz w:val="18"/>
                <w:szCs w:val="18"/>
              </w:rPr>
              <w:t xml:space="preserve">P. Dutton</w:t>
            </w:r>
          </w:p>
        </w:tc>
        <w:tc>
          <w:tcPr>
            <w:tcW w:type="dxa" w:w="1500"/>
            <w:tcMar>
              <w:top w:type="dxa" w:w="40"/>
              <w:left w:type="dxa" w:w="80"/>
              <w:bottom w:type="dxa" w:w="40"/>
              <w:right w:type="dxa" w:w="80"/>
            </w:tcMar>
          </w:tcPr>
          <w:p>
            <w:r>
              <w:rPr>
                <w:rFonts w:ascii="Calibri" w:cs="Calibri" w:eastAsia="Calibri" w:hAnsi="Calibri"/>
                <w:b w:val="false"/>
                <w:bCs w:val="false"/>
                <w:sz w:val="18"/>
                <w:szCs w:val="18"/>
              </w:rPr>
              <w:t xml:space="preserve">03/03/2021</w:t>
            </w:r>
          </w:p>
        </w:tc>
      </w:tr>
      <w:tr>
        <w:trPr>
          <w:tblHeader w:val="false"/>
        </w:trPr>
        <w:tc>
          <w:tcPr>
            <w:tcW w:type="dxa" w:w="700"/>
            <w:tcMar>
              <w:top w:type="dxa" w:w="40"/>
              <w:left w:type="dxa" w:w="80"/>
              <w:bottom w:type="dxa" w:w="40"/>
              <w:right w:type="dxa" w:w="80"/>
            </w:tcMar>
          </w:tcPr>
          <w:p>
            <w:r>
              <w:rPr>
                <w:rFonts w:ascii="Calibri" w:cs="Calibri" w:eastAsia="Calibri" w:hAnsi="Calibri"/>
                <w:b w:val="false"/>
                <w:bCs w:val="false"/>
                <w:sz w:val="18"/>
                <w:szCs w:val="18"/>
              </w:rPr>
              <w:t xml:space="preserve">1</w:t>
            </w:r>
          </w:p>
        </w:tc>
        <w:tc>
          <w:tcPr>
            <w:tcW w:type="dxa" w:w="4200"/>
            <w:tcMar>
              <w:top w:type="dxa" w:w="40"/>
              <w:left w:type="dxa" w:w="80"/>
              <w:bottom w:type="dxa" w:w="40"/>
              <w:right w:type="dxa" w:w="80"/>
            </w:tcMar>
          </w:tcPr>
          <w:p>
            <w:r>
              <w:rPr>
                <w:rFonts w:ascii="Calibri" w:cs="Calibri" w:eastAsia="Calibri" w:hAnsi="Calibri"/>
                <w:b w:val="false"/>
                <w:bCs w:val="false"/>
                <w:sz w:val="18"/>
                <w:szCs w:val="18"/>
              </w:rPr>
              <w:t xml:space="preserve">Refresh &amp; extension to combined FPC / 3834-2 / 15085-2 manual — DRAFT</w:t>
            </w:r>
          </w:p>
        </w:tc>
        <w:tc>
          <w:tcPr>
            <w:tcW w:type="dxa" w:w="1900"/>
            <w:tcMar>
              <w:top w:type="dxa" w:w="40"/>
              <w:left w:type="dxa" w:w="80"/>
              <w:bottom w:type="dxa" w:w="40"/>
              <w:right w:type="dxa" w:w="80"/>
            </w:tcMar>
          </w:tcPr>
          <w:p>
            <w:r>
              <w:rPr>
                <w:rFonts w:ascii="Calibri" w:cs="Calibri" w:eastAsia="Calibri" w:hAnsi="Calibri"/>
                <w:b w:val="false"/>
                <w:bCs w:val="false"/>
                <w:sz w:val="18"/>
                <w:szCs w:val="18"/>
              </w:rPr>
              <w:t xml:space="preserve">CRGI Solutions Ltd</w:t>
            </w:r>
          </w:p>
        </w:tc>
        <w:tc>
          <w:tcPr>
            <w:tcW w:type="dxa" w:w="1700"/>
            <w:tcMar>
              <w:top w:type="dxa" w:w="40"/>
              <w:left w:type="dxa" w:w="80"/>
              <w:bottom w:type="dxa" w:w="40"/>
              <w:right w:type="dxa" w:w="80"/>
            </w:tcMar>
          </w:tcPr>
          <w:p>
            <w:r>
              <w:rPr>
                <w:rFonts w:ascii="Calibri" w:cs="Calibri" w:eastAsia="Calibri" w:hAnsi="Calibri"/>
                <w:b w:val="false"/>
                <w:bCs w:val="false"/>
                <w:sz w:val="18"/>
                <w:szCs w:val="18"/>
              </w:rPr>
              <w:t xml:space="preserve">Pending</w:t>
            </w:r>
          </w:p>
        </w:tc>
        <w:tc>
          <w:tcPr>
            <w:tcW w:type="dxa" w:w="1500"/>
            <w:tcMar>
              <w:top w:type="dxa" w:w="40"/>
              <w:left w:type="dxa" w:w="80"/>
              <w:bottom w:type="dxa" w:w="40"/>
              <w:right w:type="dxa" w:w="80"/>
            </w:tcMar>
          </w:tcPr>
          <w:p>
            <w:r>
              <w:rPr>
                <w:rFonts w:ascii="Calibri" w:cs="Calibri" w:eastAsia="Calibri" w:hAnsi="Calibri"/>
                <w:b w:val="false"/>
                <w:bCs w:val="false"/>
                <w:sz w:val="18"/>
                <w:szCs w:val="18"/>
              </w:rPr>
              <w:t xml:space="preserve">17/07/2026</w:t>
            </w:r>
          </w:p>
        </w:tc>
      </w:tr>
      <w:tr>
        <w:trPr>
          <w:tblHeader w:val="false"/>
        </w:trPr>
        <w:tc>
          <w:tcPr>
            <w:tcW w:type="dxa" w:w="700"/>
            <w:tcMar>
              <w:top w:type="dxa" w:w="40"/>
              <w:left w:type="dxa" w:w="80"/>
              <w:bottom w:type="dxa" w:w="40"/>
              <w:right w:type="dxa" w:w="80"/>
            </w:tcMar>
          </w:tcPr>
          <w:p>
            <w:r>
              <w:rPr>
                <w:rFonts w:ascii="Calibri" w:cs="Calibri" w:eastAsia="Calibri" w:hAnsi="Calibri"/>
                <w:b w:val="false"/>
                <w:bCs w:val="false"/>
                <w:sz w:val="18"/>
                <w:szCs w:val="18"/>
              </w:rPr>
              <w:t xml:space="preserve">2</w:t>
            </w:r>
          </w:p>
        </w:tc>
        <w:tc>
          <w:tcPr>
            <w:tcW w:type="dxa" w:w="4200"/>
            <w:tcMar>
              <w:top w:type="dxa" w:w="40"/>
              <w:left w:type="dxa" w:w="80"/>
              <w:bottom w:type="dxa" w:w="40"/>
              <w:right w:type="dxa" w:w="80"/>
            </w:tcMar>
          </w:tcPr>
          <w:p>
            <w:r>
              <w:rPr>
                <w:rFonts w:ascii="Calibri" w:cs="Calibri" w:eastAsia="Calibri" w:hAnsi="Calibri"/>
                <w:b w:val="false"/>
                <w:bCs w:val="false"/>
                <w:sz w:val="18"/>
                <w:szCs w:val="18"/>
              </w:rPr>
              <w:t xml:space="preserve">Welding coordination allocation revised (Annex A); coordination cadence added (Section 16); open decisions re-flagged as TBC — DRAFT</w:t>
            </w:r>
          </w:p>
        </w:tc>
        <w:tc>
          <w:tcPr>
            <w:tcW w:type="dxa" w:w="1900"/>
            <w:tcMar>
              <w:top w:type="dxa" w:w="40"/>
              <w:left w:type="dxa" w:w="80"/>
              <w:bottom w:type="dxa" w:w="40"/>
              <w:right w:type="dxa" w:w="80"/>
            </w:tcMar>
          </w:tcPr>
          <w:p>
            <w:r>
              <w:rPr>
                <w:rFonts w:ascii="Calibri" w:cs="Calibri" w:eastAsia="Calibri" w:hAnsi="Calibri"/>
                <w:b w:val="false"/>
                <w:bCs w:val="false"/>
                <w:sz w:val="18"/>
                <w:szCs w:val="18"/>
              </w:rPr>
              <w:t xml:space="preserve">CRGI Solutions Ltd</w:t>
            </w:r>
          </w:p>
        </w:tc>
        <w:tc>
          <w:tcPr>
            <w:tcW w:type="dxa" w:w="1700"/>
            <w:tcMar>
              <w:top w:type="dxa" w:w="40"/>
              <w:left w:type="dxa" w:w="80"/>
              <w:bottom w:type="dxa" w:w="40"/>
              <w:right w:type="dxa" w:w="80"/>
            </w:tcMar>
          </w:tcPr>
          <w:p>
            <w:r>
              <w:rPr>
                <w:rFonts w:ascii="Calibri" w:cs="Calibri" w:eastAsia="Calibri" w:hAnsi="Calibri"/>
                <w:b w:val="false"/>
                <w:bCs w:val="false"/>
                <w:sz w:val="18"/>
                <w:szCs w:val="18"/>
              </w:rPr>
              <w:t xml:space="preserve">Pending</w:t>
            </w:r>
          </w:p>
        </w:tc>
        <w:tc>
          <w:tcPr>
            <w:tcW w:type="dxa" w:w="1500"/>
            <w:tcMar>
              <w:top w:type="dxa" w:w="40"/>
              <w:left w:type="dxa" w:w="80"/>
              <w:bottom w:type="dxa" w:w="40"/>
              <w:right w:type="dxa" w:w="80"/>
            </w:tcMar>
          </w:tcPr>
          <w:p>
            <w:r>
              <w:rPr>
                <w:rFonts w:ascii="Calibri" w:cs="Calibri" w:eastAsia="Calibri" w:hAnsi="Calibri"/>
                <w:b w:val="false"/>
                <w:bCs w:val="false"/>
                <w:sz w:val="18"/>
                <w:szCs w:val="18"/>
              </w:rPr>
              <w:t xml:space="preserve">21/08/2026</w:t>
            </w:r>
          </w:p>
        </w:tc>
      </w:tr>
      <w:tr>
        <w:trPr>
          <w:tblHeader w:val="false"/>
        </w:trPr>
        <w:tc>
          <w:tcPr>
            <w:tcW w:type="dxa" w:w="700"/>
            <w:tcMar>
              <w:top w:type="dxa" w:w="40"/>
              <w:left w:type="dxa" w:w="80"/>
              <w:bottom w:type="dxa" w:w="40"/>
              <w:right w:type="dxa" w:w="80"/>
            </w:tcMar>
          </w:tcPr>
          <w:p>
            <w:r>
              <w:rPr>
                <w:rFonts w:ascii="Calibri" w:cs="Calibri" w:eastAsia="Calibri" w:hAnsi="Calibri"/>
                <w:b w:val="false"/>
                <w:bCs w:val="false"/>
                <w:sz w:val="18"/>
                <w:szCs w:val="18"/>
              </w:rPr>
              <w:t xml:space="preserve">3</w:t>
            </w:r>
          </w:p>
        </w:tc>
        <w:tc>
          <w:tcPr>
            <w:tcW w:type="dxa" w:w="4200"/>
            <w:tcMar>
              <w:top w:type="dxa" w:w="40"/>
              <w:left w:type="dxa" w:w="80"/>
              <w:bottom w:type="dxa" w:w="40"/>
              <w:right w:type="dxa" w:w="80"/>
            </w:tcMar>
          </w:tcPr>
          <w:p>
            <w:r>
              <w:rPr>
                <w:rFonts w:ascii="Calibri" w:cs="Calibri" w:eastAsia="Calibri" w:hAnsi="Calibri"/>
                <w:b w:val="false"/>
                <w:bCs w:val="false"/>
                <w:sz w:val="18"/>
                <w:szCs w:val="18"/>
              </w:rPr>
              <w:t xml:space="preserve">Execution Class EXC2 and certification body (TWI) confirmed; General Manager and internal Welding Coordinator roles adopted; coordinator independence rule added (Section 7) — DRAFT</w:t>
            </w:r>
          </w:p>
        </w:tc>
        <w:tc>
          <w:tcPr>
            <w:tcW w:type="dxa" w:w="1900"/>
            <w:tcMar>
              <w:top w:type="dxa" w:w="40"/>
              <w:left w:type="dxa" w:w="80"/>
              <w:bottom w:type="dxa" w:w="40"/>
              <w:right w:type="dxa" w:w="80"/>
            </w:tcMar>
          </w:tcPr>
          <w:p>
            <w:r>
              <w:rPr>
                <w:rFonts w:ascii="Calibri" w:cs="Calibri" w:eastAsia="Calibri" w:hAnsi="Calibri"/>
                <w:b w:val="false"/>
                <w:bCs w:val="false"/>
                <w:sz w:val="18"/>
                <w:szCs w:val="18"/>
              </w:rPr>
              <w:t xml:space="preserve">CRGI Solutions Ltd</w:t>
            </w:r>
          </w:p>
        </w:tc>
        <w:tc>
          <w:tcPr>
            <w:tcW w:type="dxa" w:w="1700"/>
            <w:tcMar>
              <w:top w:type="dxa" w:w="40"/>
              <w:left w:type="dxa" w:w="80"/>
              <w:bottom w:type="dxa" w:w="40"/>
              <w:right w:type="dxa" w:w="80"/>
            </w:tcMar>
          </w:tcPr>
          <w:p>
            <w:r>
              <w:rPr>
                <w:rFonts w:ascii="Calibri" w:cs="Calibri" w:eastAsia="Calibri" w:hAnsi="Calibri"/>
                <w:b w:val="false"/>
                <w:bCs w:val="false"/>
                <w:sz w:val="18"/>
                <w:szCs w:val="18"/>
              </w:rPr>
              <w:t xml:space="preserve">Pending</w:t>
            </w:r>
          </w:p>
        </w:tc>
        <w:tc>
          <w:tcPr>
            <w:tcW w:type="dxa" w:w="1500"/>
            <w:tcMar>
              <w:top w:type="dxa" w:w="40"/>
              <w:left w:type="dxa" w:w="80"/>
              <w:bottom w:type="dxa" w:w="40"/>
              <w:right w:type="dxa" w:w="80"/>
            </w:tcMar>
          </w:tcPr>
          <w:p>
            <w:r>
              <w:rPr>
                <w:rFonts w:ascii="Calibri" w:cs="Calibri" w:eastAsia="Calibri" w:hAnsi="Calibri"/>
                <w:b w:val="false"/>
                <w:bCs w:val="false"/>
                <w:sz w:val="18"/>
                <w:szCs w:val="18"/>
              </w:rPr>
              <w:t xml:space="preserve">21/08/2026</w:t>
            </w:r>
          </w:p>
        </w:tc>
      </w:tr>
      <w:tr>
        <w:trPr>
          <w:tblHeader w:val="false"/>
        </w:trPr>
        <w:tc>
          <w:tcPr>
            <w:tcW w:type="dxa" w:w="700"/>
            <w:tcMar>
              <w:top w:type="dxa" w:w="40"/>
              <w:left w:type="dxa" w:w="80"/>
              <w:bottom w:type="dxa" w:w="40"/>
              <w:right w:type="dxa" w:w="80"/>
            </w:tcMar>
          </w:tcPr>
          <w:p>
            <w:r>
              <w:rPr>
                <w:rFonts w:ascii="Calibri" w:cs="Calibri" w:eastAsia="Calibri" w:hAnsi="Calibri"/>
                <w:b w:val="false"/>
                <w:bCs w:val="false"/>
                <w:sz w:val="18"/>
                <w:szCs w:val="18"/>
              </w:rPr>
              <w:t xml:space="preserve">4</w:t>
            </w:r>
          </w:p>
        </w:tc>
        <w:tc>
          <w:tcPr>
            <w:tcW w:type="dxa" w:w="4200"/>
            <w:tcMar>
              <w:top w:type="dxa" w:w="40"/>
              <w:left w:type="dxa" w:w="80"/>
              <w:bottom w:type="dxa" w:w="40"/>
              <w:right w:type="dxa" w:w="80"/>
            </w:tcMar>
          </w:tcPr>
          <w:p>
            <w:r>
              <w:rPr>
                <w:rFonts w:ascii="Calibri" w:cs="Calibri" w:eastAsia="Calibri" w:hAnsi="Calibri"/>
                <w:b w:val="false"/>
                <w:bCs w:val="false"/>
                <w:sz w:val="18"/>
                <w:szCs w:val="18"/>
              </w:rPr>
              <w:t xml:space="preserve">Legal entity name and CL2 scope confirmed; RWC competence evidence requested; materials scope gap referred to RWC — DRAFT</w:t>
            </w:r>
          </w:p>
        </w:tc>
        <w:tc>
          <w:tcPr>
            <w:tcW w:type="dxa" w:w="1900"/>
            <w:tcMar>
              <w:top w:type="dxa" w:w="40"/>
              <w:left w:type="dxa" w:w="80"/>
              <w:bottom w:type="dxa" w:w="40"/>
              <w:right w:type="dxa" w:w="80"/>
            </w:tcMar>
          </w:tcPr>
          <w:p>
            <w:r>
              <w:rPr>
                <w:rFonts w:ascii="Calibri" w:cs="Calibri" w:eastAsia="Calibri" w:hAnsi="Calibri"/>
                <w:b w:val="false"/>
                <w:bCs w:val="false"/>
                <w:sz w:val="18"/>
                <w:szCs w:val="18"/>
              </w:rPr>
              <w:t xml:space="preserve">CRGI Solutions Ltd</w:t>
            </w:r>
          </w:p>
        </w:tc>
        <w:tc>
          <w:tcPr>
            <w:tcW w:type="dxa" w:w="1700"/>
            <w:tcMar>
              <w:top w:type="dxa" w:w="40"/>
              <w:left w:type="dxa" w:w="80"/>
              <w:bottom w:type="dxa" w:w="40"/>
              <w:right w:type="dxa" w:w="80"/>
            </w:tcMar>
          </w:tcPr>
          <w:p>
            <w:r>
              <w:rPr>
                <w:rFonts w:ascii="Calibri" w:cs="Calibri" w:eastAsia="Calibri" w:hAnsi="Calibri"/>
                <w:b w:val="false"/>
                <w:bCs w:val="false"/>
                <w:sz w:val="18"/>
                <w:szCs w:val="18"/>
              </w:rPr>
              <w:t xml:space="preserve">Pending</w:t>
            </w:r>
          </w:p>
        </w:tc>
        <w:tc>
          <w:tcPr>
            <w:tcW w:type="dxa" w:w="1500"/>
            <w:tcMar>
              <w:top w:type="dxa" w:w="40"/>
              <w:left w:type="dxa" w:w="80"/>
              <w:bottom w:type="dxa" w:w="40"/>
              <w:right w:type="dxa" w:w="80"/>
            </w:tcMar>
          </w:tcPr>
          <w:p>
            <w:r>
              <w:rPr>
                <w:rFonts w:ascii="Calibri" w:cs="Calibri" w:eastAsia="Calibri" w:hAnsi="Calibri"/>
                <w:b w:val="false"/>
                <w:bCs w:val="false"/>
                <w:sz w:val="18"/>
                <w:szCs w:val="18"/>
              </w:rPr>
              <w:t xml:space="preserve">21/08/2026</w:t>
            </w:r>
          </w:p>
        </w:tc>
      </w:tr>
    </w:tbl>
    <w:p>
      <w:pPr>
        <w:shd w:fill="FFEB9C" w:val="clear"/>
        <w:spacing w:after="80" w:before="300"/>
      </w:pPr>
      <w:r>
        <w:rPr>
          <w:rFonts w:ascii="Calibri" w:cs="Calibri" w:eastAsia="Calibri" w:hAnsi="Calibri"/>
          <w:b/>
          <w:bCs/>
          <w:sz w:val="20"/>
          <w:szCs w:val="20"/>
        </w:rPr>
        <w:t xml:space="preserve">DRAFT — items to confirm before issue</w:t>
      </w:r>
    </w:p>
    <w:p>
      <w:pPr>
        <w:pStyle w:val="ListParagraph"/>
        <w:numPr>
          <w:ilvl w:val="0"/>
          <w:numId w:val="1"/>
        </w:numPr>
        <w:spacing w:after="40" w:line="264"/>
      </w:pPr>
      <w:r>
        <w:rPr>
          <w:rFonts w:ascii="Calibri" w:cs="Calibri" w:eastAsia="Calibri" w:hAnsi="Calibri"/>
          <w:sz w:val="20"/>
          <w:szCs w:val="20"/>
        </w:rPr>
        <w:t xml:space="preserve">Execution Class: EXC2, confirmed by IDM. The determination record setting out the consequence class, service category and production category relied upon is to be completed and held as a controlled record — the certification body will ask on what basis EXC2 was arrived at.</w:t>
      </w:r>
    </w:p>
    <w:p>
      <w:pPr>
        <w:pStyle w:val="ListParagraph"/>
        <w:numPr>
          <w:ilvl w:val="0"/>
          <w:numId w:val="1"/>
        </w:numPr>
        <w:spacing w:after="40" w:line="264"/>
      </w:pPr>
      <w:r>
        <w:rPr>
          <w:rFonts w:ascii="Calibri" w:cs="Calibri" w:eastAsia="Calibri" w:hAnsi="Calibri"/>
          <w:sz w:val="20"/>
          <w:szCs w:val="20"/>
        </w:rPr>
        <w:t xml:space="preserve">EN 15085-2 certification level: CL2, confirmed by IDM as applying across the whole rail product range. CL2 is also imposed in writing by the customer on Alstom drawing 24308 (Class 22X), which specifies CP C2 and weld inspection class CT 3. Any enquiry indicating a weld performance class above the range covered by CL2 is referred to the RWC before quotation.</w:t>
      </w:r>
    </w:p>
    <w:p>
      <w:pPr>
        <w:pStyle w:val="ListParagraph"/>
        <w:numPr>
          <w:ilvl w:val="0"/>
          <w:numId w:val="1"/>
        </w:numPr>
        <w:spacing w:after="40" w:line="264"/>
      </w:pPr>
      <w:r>
        <w:rPr>
          <w:rFonts w:ascii="Calibri" w:cs="Calibri" w:eastAsia="Calibri" w:hAnsi="Calibri"/>
          <w:sz w:val="20"/>
          <w:szCs w:val="20"/>
        </w:rPr>
        <w:t xml:space="preserve">Responsible Welding Coordinator: external appointment (Axis NDT). IWE/EWE competence evidence has been requested from the RWC and is awaited; on receipt it is verified against BS EN ISO 14731 at the level required for CL2 across all materials in scope, and held as a controlled record. A deputy or cover arrangement remains to be nominated. [TBC]</w:t>
      </w:r>
    </w:p>
    <w:p>
      <w:pPr>
        <w:pStyle w:val="ListParagraph"/>
        <w:numPr>
          <w:ilvl w:val="0"/>
          <w:numId w:val="1"/>
        </w:numPr>
        <w:spacing w:after="40" w:line="264"/>
      </w:pPr>
      <w:r>
        <w:rPr>
          <w:rFonts w:ascii="Calibri" w:cs="Calibri" w:eastAsia="Calibri" w:hAnsi="Calibri"/>
          <w:sz w:val="20"/>
          <w:szCs w:val="20"/>
        </w:rPr>
        <w:t xml:space="preserve">Material scope: carbon steel primary; stainless steel secondary (existing evidence); aluminium deferred. The mild-steel-to-cast-iron joint using pure nickel filler on the Alstom 24308 job falls outside this scope and outside every current WPS, WPQR and welder qualification. The RWC is resolving it, by procedure and welder qualification or by formal exclusion. This manual is not issued until the outcome is recorded here and the scope in Section 1 updated to match. [With RWC]</w:t>
      </w:r>
    </w:p>
    <w:p>
      <w:pPr>
        <w:pStyle w:val="ListParagraph"/>
        <w:numPr>
          <w:ilvl w:val="0"/>
          <w:numId w:val="1"/>
        </w:numPr>
        <w:spacing w:after="40" w:line="264"/>
      </w:pPr>
      <w:r>
        <w:rPr>
          <w:rFonts w:ascii="Calibri" w:cs="Calibri" w:eastAsia="Calibri" w:hAnsi="Calibri"/>
          <w:sz w:val="20"/>
          <w:szCs w:val="20"/>
        </w:rPr>
        <w:t xml:space="preserve">Certification body: TWI Certification, appointed for all three standards as a single coordinated programme. The TÜV NORD intake form held in the evidence pack is superseded and withdrawn from use. Confirm with TWI at application that the existing third-party witnessed WPQRs (TÜV UK references 22477 and 24198, and TWI reference 21033) are accepted without re-qualification, and obtain that acceptance in writing. [Action]</w:t>
      </w:r>
    </w:p>
    <w:p>
      <w:pPr>
        <w:pStyle w:val="ListParagraph"/>
        <w:numPr>
          <w:ilvl w:val="0"/>
          <w:numId w:val="1"/>
        </w:numPr>
        <w:spacing w:after="40" w:line="264"/>
      </w:pPr>
      <w:r>
        <w:rPr>
          <w:rFonts w:ascii="Calibri" w:cs="Calibri" w:eastAsia="Calibri" w:hAnsi="Calibri"/>
          <w:sz w:val="20"/>
          <w:szCs w:val="20"/>
        </w:rPr>
        <w:t xml:space="preserve">Legal entity name: confirmed as IDM Engineering (Chester) Ltd. Every document in the welding management system, and the certification application, is to carry this name. Documents still showing “IDM Engineering Ltd” — including the Welder-ID roster — are to be corrected at next revision. [Action]</w:t>
      </w:r>
    </w:p>
    <w:p>
      <w:pPr>
        <w:pStyle w:val="ListParagraph"/>
        <w:numPr>
          <w:ilvl w:val="0"/>
          <w:numId w:val="1"/>
        </w:numPr>
        <w:spacing w:after="40" w:line="264"/>
      </w:pPr>
      <w:r>
        <w:rPr>
          <w:rFonts w:ascii="Calibri" w:cs="Calibri" w:eastAsia="Calibri" w:hAnsi="Calibri"/>
          <w:sz w:val="20"/>
          <w:szCs w:val="20"/>
        </w:rPr>
        <w:t xml:space="preserve">Welding Coordinator (internal): proposed as N. Collins-Hopkins. Three conditions apply before the appointment is recorded — (a) competence for the coordination tasks in Annex A assessed and recorded against BS EN ISO 14731 by the RWC, since a welder qualification is not a coordination competence; (b) the independence rule in Section 7 applied, as the post holder is a production welder; (c) the post holder’s own welder qualification and continuity position resolved by the RWC. [TBC]</w:t>
      </w:r>
    </w:p>
    <w:p>
      <w:pPr>
        <w:pStyle w:val="ListParagraph"/>
        <w:numPr>
          <w:ilvl w:val="0"/>
          <w:numId w:val="1"/>
        </w:numPr>
        <w:spacing w:after="40" w:line="264"/>
      </w:pPr>
      <w:r>
        <w:rPr>
          <w:rFonts w:ascii="Calibri" w:cs="Calibri" w:eastAsia="Calibri" w:hAnsi="Calibri"/>
          <w:sz w:val="20"/>
          <w:szCs w:val="20"/>
        </w:rPr>
        <w:t xml:space="preserve">Notified / approved body involvement and record retention periods are to be verified against the current text of BS EN 1090-1 and BS EN 15085-5 before issue. This draft does not assert clause content. [TBC]</w:t>
      </w:r>
    </w:p>
    <w:p>
      <w:r>
        <w:br w:type="page"/>
      </w:r>
    </w:p>
    <w:p>
      <w:pPr>
        <w:pStyle w:val="Heading1"/>
        <w:spacing w:after="120" w:before="260"/>
      </w:pPr>
      <w:r>
        <w:rPr>
          <w:rFonts w:ascii="Calibri" w:cs="Calibri" w:eastAsia="Calibri" w:hAnsi="Calibri"/>
          <w:b/>
          <w:bCs/>
          <w:color w:val="1F3864"/>
          <w:sz w:val="26"/>
          <w:szCs w:val="26"/>
        </w:rPr>
        <w:t xml:space="preserve">1.  Purpose and scope</w:t>
      </w:r>
    </w:p>
    <w:p>
      <w:pPr>
        <w:spacing w:after="120" w:line="276"/>
      </w:pPr>
      <w:r>
        <w:rPr>
          <w:rFonts w:ascii="Calibri" w:cs="Calibri" w:eastAsia="Calibri" w:hAnsi="Calibri"/>
          <w:sz w:val="20"/>
          <w:szCs w:val="20"/>
        </w:rPr>
        <w:t xml:space="preserve">This manual describes the methods for controlling welding and related activities at IDM Engineering (Chester) Ltd so that components are fabricated and welded in accordance with the client specification and/or contract and with the requirements of the standards listed below. It is the factory production control (FPC) spine for IDM’s welded products and is read in conjunction with the IDM ISO 9001 quality management system.</w:t>
      </w:r>
    </w:p>
    <w:p>
      <w:pPr>
        <w:pStyle w:val="ListParagraph"/>
        <w:numPr>
          <w:ilvl w:val="0"/>
          <w:numId w:val="1"/>
        </w:numPr>
        <w:spacing w:after="40" w:line="264"/>
      </w:pPr>
      <w:r>
        <w:rPr>
          <w:rFonts w:ascii="Calibri" w:cs="Calibri" w:eastAsia="Calibri" w:hAnsi="Calibri"/>
          <w:sz w:val="20"/>
          <w:szCs w:val="20"/>
        </w:rPr>
        <w:t xml:space="preserve">BS EN ISO 3834-2 — comprehensive quality requirements for fusion welding (the welding-QMS core).</w:t>
      </w:r>
    </w:p>
    <w:p>
      <w:pPr>
        <w:pStyle w:val="ListParagraph"/>
        <w:numPr>
          <w:ilvl w:val="0"/>
          <w:numId w:val="1"/>
        </w:numPr>
        <w:spacing w:after="40" w:line="264"/>
      </w:pPr>
      <w:r>
        <w:rPr>
          <w:rFonts w:ascii="Calibri" w:cs="Calibri" w:eastAsia="Calibri" w:hAnsi="Calibri"/>
          <w:sz w:val="20"/>
          <w:szCs w:val="20"/>
        </w:rPr>
        <w:t xml:space="preserve">BS EN 1090-1 / -2 — factory production control, conformity assessment and execution of steel structures (adds FPC, Declaration of Performance and UKCA/CE marking).</w:t>
      </w:r>
    </w:p>
    <w:p>
      <w:pPr>
        <w:pStyle w:val="ListParagraph"/>
        <w:numPr>
          <w:ilvl w:val="0"/>
          <w:numId w:val="1"/>
        </w:numPr>
        <w:spacing w:after="40" w:line="264"/>
      </w:pPr>
      <w:r>
        <w:rPr>
          <w:rFonts w:ascii="Calibri" w:cs="Calibri" w:eastAsia="Calibri" w:hAnsi="Calibri"/>
          <w:sz w:val="20"/>
          <w:szCs w:val="20"/>
        </w:rPr>
        <w:t xml:space="preserve">BS EN 15085-2 — welding of railway vehicles and components, provisionally CL2 (adds weld performance classes, weld mapping and EN 15085-5 documentation).</w:t>
      </w:r>
    </w:p>
    <w:p>
      <w:pPr>
        <w:spacing w:after="120" w:line="276"/>
      </w:pPr>
      <w:r>
        <w:rPr>
          <w:rFonts w:ascii="Calibri" w:cs="Calibri" w:eastAsia="Calibri" w:hAnsi="Calibri"/>
          <w:b/>
          <w:bCs/>
          <w:sz w:val="20"/>
          <w:szCs w:val="20"/>
        </w:rPr>
        <w:t xml:space="preserve">Shared spine. </w:t>
      </w:r>
      <w:r>
        <w:rPr>
          <w:rFonts w:ascii="Calibri" w:cs="Calibri" w:eastAsia="Calibri" w:hAnsi="Calibri"/>
          <w:sz w:val="20"/>
          <w:szCs w:val="20"/>
        </w:rPr>
        <w:t xml:space="preserve">ISO 3834-2 is the common welding-QMS core; EN 1090 and EN 15085 each add a product-specific layer on top of it. Requirements are therefore established once and shared, avoiding duplicate procedures and paperwork. Where EN 15085-2 CL2 applies, ISO 3834-2 (Comprehensive) is mandated regardless of the EN 1090 Execution Class.</w:t>
      </w:r>
    </w:p>
    <w:p>
      <w:pPr>
        <w:spacing w:after="120" w:line="276"/>
      </w:pPr>
      <w:r>
        <w:rPr>
          <w:rFonts w:ascii="Calibri" w:cs="Calibri" w:eastAsia="Calibri" w:hAnsi="Calibri"/>
          <w:sz w:val="20"/>
          <w:szCs w:val="20"/>
        </w:rPr>
        <w:t xml:space="preserve">Material scope is currently carbon-steel-led, with stainless steel as a secondary material for which qualification evidence already exists. Aluminium is deferred. No other parent material or filler combination is within scope. Where a contract requires a combination outside this scope — including dissimilar joints such as steel to cast iron — it is referred to the RWC at technical review and no welding proceeds until a qualified procedure and qualified welders are in place. [TBC — see draft items]</w:t>
      </w:r>
    </w:p>
    <w:p>
      <w:pPr>
        <w:pStyle w:val="Heading2"/>
        <w:spacing w:after="100" w:before="180"/>
      </w:pPr>
      <w:r>
        <w:rPr>
          <w:rFonts w:ascii="Calibri" w:cs="Calibri" w:eastAsia="Calibri" w:hAnsi="Calibri"/>
          <w:b/>
          <w:bCs/>
          <w:color w:val="2E5395"/>
          <w:sz w:val="22"/>
          <w:szCs w:val="22"/>
        </w:rPr>
        <w:t xml:space="preserve">Relationship to the ISO 9001 system</w:t>
      </w:r>
    </w:p>
    <w:p>
      <w:pPr>
        <w:spacing w:after="120" w:line="276"/>
      </w:pPr>
      <w:r>
        <w:rPr>
          <w:rFonts w:ascii="Calibri" w:cs="Calibri" w:eastAsia="Calibri" w:hAnsi="Calibri"/>
          <w:sz w:val="20"/>
          <w:szCs w:val="20"/>
        </w:rPr>
        <w:t xml:space="preserve">Many welding quality inputs and outputs are delivered through the ISO 9001 procedures. The relationship between the ISO 3834-2 clauses and the IDM ISO 9001 procedures is:</w:t>
      </w:r>
    </w:p>
    <w:tbl>
      <w:tblPr>
        <w:tblW w:type="dxa" w:w="8400"/>
        <w:tblBorders>
          <w:top w:val="single" w:color="auto" w:sz="4"/>
          <w:left w:val="single" w:color="auto" w:sz="4"/>
          <w:bottom w:val="single" w:color="auto" w:sz="4"/>
          <w:right w:val="single" w:color="auto" w:sz="4"/>
          <w:insideH w:val="single" w:color="auto" w:sz="4"/>
          <w:insideV w:val="single" w:color="auto" w:sz="4"/>
        </w:tblBorders>
      </w:tblPr>
      <w:tblGrid>
        <w:gridCol w:w="5200"/>
        <w:gridCol w:w="3200"/>
      </w:tblGrid>
      <w:tr>
        <w:trPr>
          <w:tblHeader/>
        </w:trPr>
        <w:tc>
          <w:tcPr>
            <w:tcW w:type="dxa" w:w="5200"/>
            <w:shd w:fill="1F3864" w:val="clear"/>
            <w:tcMar>
              <w:top w:type="dxa" w:w="40"/>
              <w:left w:type="dxa" w:w="80"/>
              <w:bottom w:type="dxa" w:w="40"/>
              <w:right w:type="dxa" w:w="80"/>
            </w:tcMar>
          </w:tcPr>
          <w:p>
            <w:r>
              <w:rPr>
                <w:rFonts w:ascii="Calibri" w:cs="Calibri" w:eastAsia="Calibri" w:hAnsi="Calibri"/>
                <w:b/>
                <w:bCs/>
                <w:color w:val="FFFFFF"/>
                <w:sz w:val="18"/>
                <w:szCs w:val="18"/>
              </w:rPr>
              <w:t xml:space="preserve">IDM ISO 9001 procedure</w:t>
            </w:r>
          </w:p>
        </w:tc>
        <w:tc>
          <w:tcPr>
            <w:tcW w:type="dxa" w:w="3200"/>
            <w:shd w:fill="1F3864" w:val="clear"/>
            <w:tcMar>
              <w:top w:type="dxa" w:w="40"/>
              <w:left w:type="dxa" w:w="80"/>
              <w:bottom w:type="dxa" w:w="40"/>
              <w:right w:type="dxa" w:w="80"/>
            </w:tcMar>
          </w:tcPr>
          <w:p>
            <w:r>
              <w:rPr>
                <w:rFonts w:ascii="Calibri" w:cs="Calibri" w:eastAsia="Calibri" w:hAnsi="Calibri"/>
                <w:b/>
                <w:bCs/>
                <w:color w:val="FFFFFF"/>
                <w:sz w:val="18"/>
                <w:szCs w:val="18"/>
              </w:rPr>
              <w:t xml:space="preserve">ISO 3834-2 clause</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QP01 Document control</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10</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QP02 Internal audits</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14</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QP03 Non-conformances</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15</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QP04 Enquiries</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5</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QP05 Design</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5</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QP06 Manufacture</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10</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QP07 Delivery</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10</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QP08 Invoicing</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Not applicable</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QP09 Accounts</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Not applicable</w:t>
            </w:r>
          </w:p>
        </w:tc>
      </w:tr>
      <w:tr>
        <w:trPr>
          <w:tblHeader w:val="false"/>
        </w:trPr>
        <w:tc>
          <w:tcPr>
            <w:tcW w:type="dxa" w:w="5200"/>
            <w:tcMar>
              <w:top w:type="dxa" w:w="40"/>
              <w:left w:type="dxa" w:w="80"/>
              <w:bottom w:type="dxa" w:w="40"/>
              <w:right w:type="dxa" w:w="80"/>
            </w:tcMar>
          </w:tcPr>
          <w:p>
            <w:r>
              <w:rPr>
                <w:rFonts w:ascii="Calibri" w:cs="Calibri" w:eastAsia="Calibri" w:hAnsi="Calibri"/>
                <w:b w:val="false"/>
                <w:bCs w:val="false"/>
                <w:sz w:val="18"/>
                <w:szCs w:val="18"/>
              </w:rPr>
              <w:t xml:space="preserve">QP10 Recall</w:t>
            </w:r>
          </w:p>
        </w:tc>
        <w:tc>
          <w:tcPr>
            <w:tcW w:type="dxa" w:w="3200"/>
            <w:tcMar>
              <w:top w:type="dxa" w:w="40"/>
              <w:left w:type="dxa" w:w="80"/>
              <w:bottom w:type="dxa" w:w="40"/>
              <w:right w:type="dxa" w:w="80"/>
            </w:tcMar>
          </w:tcPr>
          <w:p>
            <w:r>
              <w:rPr>
                <w:rFonts w:ascii="Calibri" w:cs="Calibri" w:eastAsia="Calibri" w:hAnsi="Calibri"/>
                <w:b w:val="false"/>
                <w:bCs w:val="false"/>
                <w:sz w:val="18"/>
                <w:szCs w:val="18"/>
              </w:rPr>
              <w:t xml:space="preserve">15</w:t>
            </w:r>
          </w:p>
        </w:tc>
      </w:tr>
    </w:tbl>
    <w:p>
      <w:pPr>
        <w:pStyle w:val="Heading1"/>
        <w:spacing w:after="120" w:before="260"/>
      </w:pPr>
      <w:r>
        <w:rPr>
          <w:rFonts w:ascii="Calibri" w:cs="Calibri" w:eastAsia="Calibri" w:hAnsi="Calibri"/>
          <w:b/>
          <w:bCs/>
          <w:color w:val="1F3864"/>
          <w:sz w:val="26"/>
          <w:szCs w:val="26"/>
        </w:rPr>
        <w:t xml:space="preserve">2.  Factory Production Control (EN 1090)</w:t>
      </w:r>
    </w:p>
    <w:p>
      <w:pPr>
        <w:spacing w:after="120" w:line="276"/>
      </w:pPr>
      <w:r>
        <w:rPr>
          <w:rFonts w:ascii="Calibri" w:cs="Calibri" w:eastAsia="Calibri" w:hAnsi="Calibri"/>
          <w:sz w:val="20"/>
          <w:szCs w:val="20"/>
        </w:rPr>
        <w:t xml:space="preserve">IDM operates a documented Factory Production Control (FPC) system so that products placed on the market conform to the declared characteristics. The FPC covers the whole life cycle of a product — from enquiry and material intake to fabrication, welding, inspection and dispatch — and is supported by the procedures FPC 01 to FPC 06 and the registers listed in Annex C.</w:t>
      </w:r>
    </w:p>
    <w:p>
      <w:pPr>
        <w:pStyle w:val="ListParagraph"/>
        <w:numPr>
          <w:ilvl w:val="0"/>
          <w:numId w:val="1"/>
        </w:numPr>
        <w:spacing w:after="40" w:line="264"/>
      </w:pPr>
      <w:r>
        <w:rPr>
          <w:rFonts w:ascii="Calibri" w:cs="Calibri" w:eastAsia="Calibri" w:hAnsi="Calibri"/>
          <w:sz w:val="20"/>
          <w:szCs w:val="20"/>
        </w:rPr>
        <w:t xml:space="preserve">FPC 01 — Material traceability</w:t>
      </w:r>
    </w:p>
    <w:p>
      <w:pPr>
        <w:pStyle w:val="ListParagraph"/>
        <w:numPr>
          <w:ilvl w:val="0"/>
          <w:numId w:val="1"/>
        </w:numPr>
        <w:spacing w:after="40" w:line="264"/>
      </w:pPr>
      <w:r>
        <w:rPr>
          <w:rFonts w:ascii="Calibri" w:cs="Calibri" w:eastAsia="Calibri" w:hAnsi="Calibri"/>
          <w:sz w:val="20"/>
          <w:szCs w:val="20"/>
        </w:rPr>
        <w:t xml:space="preserve">FPC 02 — Weld joint preparation</w:t>
      </w:r>
    </w:p>
    <w:p>
      <w:pPr>
        <w:pStyle w:val="ListParagraph"/>
        <w:numPr>
          <w:ilvl w:val="0"/>
          <w:numId w:val="1"/>
        </w:numPr>
        <w:spacing w:after="40" w:line="264"/>
      </w:pPr>
      <w:r>
        <w:rPr>
          <w:rFonts w:ascii="Calibri" w:cs="Calibri" w:eastAsia="Calibri" w:hAnsi="Calibri"/>
          <w:sz w:val="20"/>
          <w:szCs w:val="20"/>
        </w:rPr>
        <w:t xml:space="preserve">FPC 03 — Identification of steel members</w:t>
      </w:r>
    </w:p>
    <w:p>
      <w:pPr>
        <w:pStyle w:val="ListParagraph"/>
        <w:numPr>
          <w:ilvl w:val="0"/>
          <w:numId w:val="1"/>
        </w:numPr>
        <w:spacing w:after="40" w:line="264"/>
      </w:pPr>
      <w:r>
        <w:rPr>
          <w:rFonts w:ascii="Calibri" w:cs="Calibri" w:eastAsia="Calibri" w:hAnsi="Calibri"/>
          <w:sz w:val="20"/>
          <w:szCs w:val="20"/>
        </w:rPr>
        <w:t xml:space="preserve">FPC 04 — Weld repair procedure</w:t>
      </w:r>
    </w:p>
    <w:p>
      <w:pPr>
        <w:pStyle w:val="ListParagraph"/>
        <w:numPr>
          <w:ilvl w:val="0"/>
          <w:numId w:val="1"/>
        </w:numPr>
        <w:spacing w:after="40" w:line="264"/>
      </w:pPr>
      <w:r>
        <w:rPr>
          <w:rFonts w:ascii="Calibri" w:cs="Calibri" w:eastAsia="Calibri" w:hAnsi="Calibri"/>
          <w:sz w:val="20"/>
          <w:szCs w:val="20"/>
        </w:rPr>
        <w:t xml:space="preserve">FPC 05 — Dimensional tolerances</w:t>
      </w:r>
    </w:p>
    <w:p>
      <w:pPr>
        <w:pStyle w:val="ListParagraph"/>
        <w:numPr>
          <w:ilvl w:val="0"/>
          <w:numId w:val="1"/>
        </w:numPr>
        <w:spacing w:after="40" w:line="264"/>
      </w:pPr>
      <w:r>
        <w:rPr>
          <w:rFonts w:ascii="Calibri" w:cs="Calibri" w:eastAsia="Calibri" w:hAnsi="Calibri"/>
          <w:sz w:val="20"/>
          <w:szCs w:val="20"/>
        </w:rPr>
        <w:t xml:space="preserve">FPC 06 — Cutting of re-entrant corners and cut-outs</w:t>
      </w:r>
    </w:p>
    <w:p>
      <w:pPr>
        <w:pStyle w:val="Heading2"/>
        <w:spacing w:after="100" w:before="180"/>
      </w:pPr>
      <w:r>
        <w:rPr>
          <w:rFonts w:ascii="Calibri" w:cs="Calibri" w:eastAsia="Calibri" w:hAnsi="Calibri"/>
          <w:b/>
          <w:bCs/>
          <w:color w:val="2E5395"/>
          <w:sz w:val="22"/>
          <w:szCs w:val="22"/>
        </w:rPr>
        <w:t xml:space="preserve">Execution Class</w:t>
      </w:r>
    </w:p>
    <w:p>
      <w:pPr>
        <w:spacing w:after="120" w:line="276"/>
      </w:pPr>
      <w:r>
        <w:rPr>
          <w:rFonts w:ascii="Calibri" w:cs="Calibri" w:eastAsia="Calibri" w:hAnsi="Calibri"/>
          <w:sz w:val="20"/>
          <w:szCs w:val="20"/>
        </w:rPr>
        <w:t xml:space="preserve">The Execution Class (EXC1–EXC4) is determined for each product/project from its consequence class, service category and production category, and drives the requirements applied throughout this manual. IDM operates to EXC2. The basis of that determination is recorded, and the class is re-checked for each product or project at the technical review stage; any enquiry indicating a higher consequence class or fatigue-loaded service is referred to the RWC before quotation.</w:t>
      </w:r>
    </w:p>
    <w:p>
      <w:pPr>
        <w:pStyle w:val="Heading2"/>
        <w:spacing w:after="100" w:before="180"/>
      </w:pPr>
      <w:r>
        <w:rPr>
          <w:rFonts w:ascii="Calibri" w:cs="Calibri" w:eastAsia="Calibri" w:hAnsi="Calibri"/>
          <w:b/>
          <w:bCs/>
          <w:color w:val="2E5395"/>
          <w:sz w:val="22"/>
          <w:szCs w:val="22"/>
        </w:rPr>
        <w:t xml:space="preserve">Conformity assessment and marking</w:t>
      </w:r>
    </w:p>
    <w:p>
      <w:pPr>
        <w:pStyle w:val="ListParagraph"/>
        <w:numPr>
          <w:ilvl w:val="0"/>
          <w:numId w:val="1"/>
        </w:numPr>
        <w:spacing w:after="40" w:line="264"/>
      </w:pPr>
      <w:r>
        <w:rPr>
          <w:rFonts w:ascii="Calibri" w:cs="Calibri" w:eastAsia="Calibri" w:hAnsi="Calibri"/>
          <w:sz w:val="20"/>
          <w:szCs w:val="20"/>
        </w:rPr>
        <w:t xml:space="preserve">Initial Type Testing (ITT), or design by an approved calculation method, is completed for the product range.</w:t>
      </w:r>
    </w:p>
    <w:p>
      <w:pPr>
        <w:pStyle w:val="ListParagraph"/>
        <w:numPr>
          <w:ilvl w:val="0"/>
          <w:numId w:val="1"/>
        </w:numPr>
        <w:spacing w:after="40" w:line="264"/>
      </w:pPr>
      <w:r>
        <w:rPr>
          <w:rFonts w:ascii="Calibri" w:cs="Calibri" w:eastAsia="Calibri" w:hAnsi="Calibri"/>
          <w:sz w:val="20"/>
          <w:szCs w:val="20"/>
        </w:rPr>
        <w:t xml:space="preserve">For EXC2–EXC4 a Notified / Approved Body is engaged to carry out the initial inspection of the factory and the FPC, and ongoing surveillance.</w:t>
      </w:r>
    </w:p>
    <w:p>
      <w:pPr>
        <w:pStyle w:val="ListParagraph"/>
        <w:numPr>
          <w:ilvl w:val="0"/>
          <w:numId w:val="1"/>
        </w:numPr>
        <w:spacing w:after="40" w:line="264"/>
      </w:pPr>
      <w:r>
        <w:rPr>
          <w:rFonts w:ascii="Calibri" w:cs="Calibri" w:eastAsia="Calibri" w:hAnsi="Calibri"/>
          <w:sz w:val="20"/>
          <w:szCs w:val="20"/>
        </w:rPr>
        <w:t xml:space="preserve">A Declaration of Performance (DoP) is prepared for each product type placed on the market.</w:t>
      </w:r>
    </w:p>
    <w:p>
      <w:pPr>
        <w:pStyle w:val="ListParagraph"/>
        <w:numPr>
          <w:ilvl w:val="0"/>
          <w:numId w:val="1"/>
        </w:numPr>
        <w:spacing w:after="40" w:line="264"/>
      </w:pPr>
      <w:r>
        <w:rPr>
          <w:rFonts w:ascii="Calibri" w:cs="Calibri" w:eastAsia="Calibri" w:hAnsi="Calibri"/>
          <w:sz w:val="20"/>
          <w:szCs w:val="20"/>
        </w:rPr>
        <w:t xml:space="preserve">Products are marked UKCA (GB market), CE (EU market) or CE UKNI (Northern Ireland via a UK body), as determined by where the product is supplied. The marking and documentation pack are aligned to the DoP.</w:t>
      </w:r>
    </w:p>
    <w:p>
      <w:pPr>
        <w:pStyle w:val="Heading1"/>
        <w:spacing w:after="120" w:before="260"/>
      </w:pPr>
      <w:r>
        <w:rPr>
          <w:rFonts w:ascii="Calibri" w:cs="Calibri" w:eastAsia="Calibri" w:hAnsi="Calibri"/>
          <w:b/>
          <w:bCs/>
          <w:color w:val="1F3864"/>
          <w:sz w:val="26"/>
          <w:szCs w:val="26"/>
        </w:rPr>
        <w:t xml:space="preserve">3.  Review of requirements</w:t>
      </w:r>
    </w:p>
    <w:p>
      <w:pPr>
        <w:spacing w:after="120" w:line="276"/>
      </w:pPr>
      <w:r>
        <w:rPr>
          <w:rFonts w:ascii="Calibri" w:cs="Calibri" w:eastAsia="Calibri" w:hAnsi="Calibri"/>
          <w:sz w:val="20"/>
          <w:szCs w:val="20"/>
        </w:rPr>
        <w:t xml:space="preserve">Before any commitment to supply, a requirements review confirms the enquiry fits IDM’s scope of works. On receipt of an enquiry the following are checked:</w:t>
      </w:r>
    </w:p>
    <w:p>
      <w:pPr>
        <w:pStyle w:val="ListParagraph"/>
        <w:numPr>
          <w:ilvl w:val="0"/>
          <w:numId w:val="1"/>
        </w:numPr>
        <w:spacing w:after="40" w:line="264"/>
      </w:pPr>
      <w:r>
        <w:rPr>
          <w:rFonts w:ascii="Calibri" w:cs="Calibri" w:eastAsia="Calibri" w:hAnsi="Calibri"/>
          <w:sz w:val="20"/>
          <w:szCs w:val="20"/>
        </w:rPr>
        <w:t xml:space="preserve">Customer requirements are clearly specified and documented, with specifications and manufacturing drawings available (repeat orders access existing filed information).</w:t>
      </w:r>
    </w:p>
    <w:p>
      <w:pPr>
        <w:pStyle w:val="ListParagraph"/>
        <w:numPr>
          <w:ilvl w:val="0"/>
          <w:numId w:val="1"/>
        </w:numPr>
        <w:spacing w:after="40" w:line="264"/>
      </w:pPr>
      <w:r>
        <w:rPr>
          <w:rFonts w:ascii="Calibri" w:cs="Calibri" w:eastAsia="Calibri" w:hAnsi="Calibri"/>
          <w:sz w:val="20"/>
          <w:szCs w:val="20"/>
        </w:rPr>
        <w:t xml:space="preserve">Any customer-specific requirements or issues are resolved.</w:t>
      </w:r>
    </w:p>
    <w:p>
      <w:pPr>
        <w:pStyle w:val="ListParagraph"/>
        <w:numPr>
          <w:ilvl w:val="0"/>
          <w:numId w:val="1"/>
        </w:numPr>
        <w:spacing w:after="40" w:line="264"/>
      </w:pPr>
      <w:r>
        <w:rPr>
          <w:rFonts w:ascii="Calibri" w:cs="Calibri" w:eastAsia="Calibri" w:hAnsi="Calibri"/>
          <w:sz w:val="20"/>
          <w:szCs w:val="20"/>
        </w:rPr>
        <w:t xml:space="preserve">Resource — material, labour, plant and equipment — is available for the anticipated date.</w:t>
      </w:r>
    </w:p>
    <w:p>
      <w:pPr>
        <w:pStyle w:val="ListParagraph"/>
        <w:numPr>
          <w:ilvl w:val="0"/>
          <w:numId w:val="1"/>
        </w:numPr>
        <w:spacing w:after="40" w:line="264"/>
      </w:pPr>
      <w:r>
        <w:rPr>
          <w:rFonts w:ascii="Calibri" w:cs="Calibri" w:eastAsia="Calibri" w:hAnsi="Calibri"/>
          <w:sz w:val="20"/>
          <w:szCs w:val="20"/>
        </w:rPr>
        <w:t xml:space="preserve">IDM’s capability to meet the prescribed and any additional requirements.</w:t>
      </w:r>
    </w:p>
    <w:p>
      <w:pPr>
        <w:spacing w:after="120" w:line="276"/>
      </w:pPr>
      <w:r>
        <w:rPr>
          <w:rFonts w:ascii="Calibri" w:cs="Calibri" w:eastAsia="Calibri" w:hAnsi="Calibri"/>
          <w:sz w:val="20"/>
          <w:szCs w:val="20"/>
        </w:rPr>
        <w:t xml:space="preserve">When satisfactory, the IDM contract review sheet (the “design sheet”) is completed and the quote issued. The customer order and subsequent manufacturing-instruction documents are logged into the contract review sheet for use at the technical review stage if the job is won.</w:t>
      </w:r>
    </w:p>
    <w:p>
      <w:pPr>
        <w:pStyle w:val="Heading1"/>
        <w:spacing w:after="120" w:before="260"/>
      </w:pPr>
      <w:r>
        <w:rPr>
          <w:rFonts w:ascii="Calibri" w:cs="Calibri" w:eastAsia="Calibri" w:hAnsi="Calibri"/>
          <w:b/>
          <w:bCs/>
          <w:color w:val="1F3864"/>
          <w:sz w:val="26"/>
          <w:szCs w:val="26"/>
        </w:rPr>
        <w:t xml:space="preserve">4.  Technical review</w:t>
      </w:r>
    </w:p>
    <w:p>
      <w:pPr>
        <w:spacing w:after="120" w:line="276"/>
      </w:pPr>
      <w:r>
        <w:rPr>
          <w:rFonts w:ascii="Calibri" w:cs="Calibri" w:eastAsia="Calibri" w:hAnsi="Calibri"/>
          <w:sz w:val="20"/>
          <w:szCs w:val="20"/>
        </w:rPr>
        <w:t xml:space="preserve">The technical review is recorded in the job folder by the welding coordinator at placement of the customer’s purchase order. It provides the conditional logic that determines how much of the documentation pack is required, so the pack is streamlined and fit for purpose. The review considers, but is not limited to:</w:t>
      </w:r>
    </w:p>
    <w:p>
      <w:pPr>
        <w:pStyle w:val="ListParagraph"/>
        <w:numPr>
          <w:ilvl w:val="0"/>
          <w:numId w:val="1"/>
        </w:numPr>
        <w:spacing w:after="40" w:line="264"/>
      </w:pPr>
      <w:r>
        <w:rPr>
          <w:rFonts w:ascii="Calibri" w:cs="Calibri" w:eastAsia="Calibri" w:hAnsi="Calibri"/>
          <w:sz w:val="20"/>
          <w:szCs w:val="20"/>
        </w:rPr>
        <w:t xml:space="preserve">Parent material(s) specification and welded joint properties.</w:t>
      </w:r>
    </w:p>
    <w:p>
      <w:pPr>
        <w:pStyle w:val="ListParagraph"/>
        <w:numPr>
          <w:ilvl w:val="0"/>
          <w:numId w:val="1"/>
        </w:numPr>
        <w:spacing w:after="40" w:line="264"/>
      </w:pPr>
      <w:r>
        <w:rPr>
          <w:rFonts w:ascii="Calibri" w:cs="Calibri" w:eastAsia="Calibri" w:hAnsi="Calibri"/>
          <w:sz w:val="20"/>
          <w:szCs w:val="20"/>
        </w:rPr>
        <w:t xml:space="preserve">Quality and acceptance requirements for welds.</w:t>
      </w:r>
    </w:p>
    <w:p>
      <w:pPr>
        <w:pStyle w:val="ListParagraph"/>
        <w:numPr>
          <w:ilvl w:val="0"/>
          <w:numId w:val="1"/>
        </w:numPr>
        <w:spacing w:after="40" w:line="264"/>
      </w:pPr>
      <w:r>
        <w:rPr>
          <w:rFonts w:ascii="Calibri" w:cs="Calibri" w:eastAsia="Calibri" w:hAnsi="Calibri"/>
          <w:sz w:val="20"/>
          <w:szCs w:val="20"/>
        </w:rPr>
        <w:t xml:space="preserve">Location, accessibility and sequence of welds, including access for inspection and NDT.</w:t>
      </w:r>
    </w:p>
    <w:p>
      <w:pPr>
        <w:pStyle w:val="ListParagraph"/>
        <w:numPr>
          <w:ilvl w:val="0"/>
          <w:numId w:val="1"/>
        </w:numPr>
        <w:spacing w:after="40" w:line="264"/>
      </w:pPr>
      <w:r>
        <w:rPr>
          <w:rFonts w:ascii="Calibri" w:cs="Calibri" w:eastAsia="Calibri" w:hAnsi="Calibri"/>
          <w:sz w:val="20"/>
          <w:szCs w:val="20"/>
        </w:rPr>
        <w:t xml:space="preserve">Specification of welding, NDT and heat-treatment procedures, and the approach to procedure qualification.</w:t>
      </w:r>
    </w:p>
    <w:p>
      <w:pPr>
        <w:pStyle w:val="ListParagraph"/>
        <w:numPr>
          <w:ilvl w:val="0"/>
          <w:numId w:val="1"/>
        </w:numPr>
        <w:spacing w:after="40" w:line="264"/>
      </w:pPr>
      <w:r>
        <w:rPr>
          <w:rFonts w:ascii="Calibri" w:cs="Calibri" w:eastAsia="Calibri" w:hAnsi="Calibri"/>
          <w:sz w:val="20"/>
          <w:szCs w:val="20"/>
        </w:rPr>
        <w:t xml:space="preserve">Qualification of personnel; selection, identification and traceability of materials and welds.</w:t>
      </w:r>
    </w:p>
    <w:p>
      <w:pPr>
        <w:pStyle w:val="ListParagraph"/>
        <w:numPr>
          <w:ilvl w:val="0"/>
          <w:numId w:val="1"/>
        </w:numPr>
        <w:spacing w:after="40" w:line="264"/>
      </w:pPr>
      <w:r>
        <w:rPr>
          <w:rFonts w:ascii="Calibri" w:cs="Calibri" w:eastAsia="Calibri" w:hAnsi="Calibri"/>
          <w:sz w:val="20"/>
          <w:szCs w:val="20"/>
        </w:rPr>
        <w:t xml:space="preserve">Quality-control arrangements, including any independent inspection body; inspection and testing; sub-contracting.</w:t>
      </w:r>
    </w:p>
    <w:p>
      <w:pPr>
        <w:pStyle w:val="ListParagraph"/>
        <w:numPr>
          <w:ilvl w:val="0"/>
          <w:numId w:val="1"/>
        </w:numPr>
        <w:spacing w:after="40" w:line="264"/>
      </w:pPr>
      <w:r>
        <w:rPr>
          <w:rFonts w:ascii="Calibri" w:cs="Calibri" w:eastAsia="Calibri" w:hAnsi="Calibri"/>
          <w:sz w:val="20"/>
          <w:szCs w:val="20"/>
        </w:rPr>
        <w:t xml:space="preserve">Post-weld heat treatment and any special requirements (consumable batch testing, ferrite content, hydrogen control, backing, peening, surface finish, weld profile).</w:t>
      </w:r>
    </w:p>
    <w:p>
      <w:pPr>
        <w:pStyle w:val="ListParagraph"/>
        <w:numPr>
          <w:ilvl w:val="0"/>
          <w:numId w:val="1"/>
        </w:numPr>
        <w:spacing w:after="40" w:line="264"/>
      </w:pPr>
      <w:r>
        <w:rPr>
          <w:rFonts w:ascii="Calibri" w:cs="Calibri" w:eastAsia="Calibri" w:hAnsi="Calibri"/>
          <w:sz w:val="20"/>
          <w:szCs w:val="20"/>
        </w:rPr>
        <w:t xml:space="preserve">Joint preparation and completed-weld dimensions; welds made in the workshop or elsewhere; environmental conditions; handling of non-conformances.</w:t>
      </w:r>
    </w:p>
    <w:p>
      <w:pPr>
        <w:spacing w:after="120" w:line="276"/>
      </w:pPr>
      <w:r>
        <w:rPr>
          <w:rFonts w:ascii="Calibri" w:cs="Calibri" w:eastAsia="Calibri" w:hAnsi="Calibri"/>
          <w:b/>
          <w:bCs/>
          <w:sz w:val="20"/>
          <w:szCs w:val="20"/>
        </w:rPr>
        <w:t xml:space="preserve">Bank of codings and WPSs. </w:t>
      </w:r>
      <w:r>
        <w:rPr>
          <w:rFonts w:ascii="Calibri" w:cs="Calibri" w:eastAsia="Calibri" w:hAnsi="Calibri"/>
          <w:sz w:val="20"/>
          <w:szCs w:val="20"/>
        </w:rPr>
        <w:t xml:space="preserve">The technical review references IDM’s available welder codings and qualified WPSs, so that at tender/enquiry stage it is clear what is already covered and what is not. Where a gap exists, the welding coordinator is engaged from the front end of the job — preventing work reaching the workshop before the required WPSs and qualifications are in place.</w:t>
      </w:r>
    </w:p>
    <w:p>
      <w:pPr>
        <w:pStyle w:val="Heading1"/>
        <w:spacing w:after="120" w:before="260"/>
      </w:pPr>
      <w:r>
        <w:rPr>
          <w:rFonts w:ascii="Calibri" w:cs="Calibri" w:eastAsia="Calibri" w:hAnsi="Calibri"/>
          <w:b/>
          <w:bCs/>
          <w:color w:val="1F3864"/>
          <w:sz w:val="26"/>
          <w:szCs w:val="26"/>
        </w:rPr>
        <w:t xml:space="preserve">5.  Sub-contracting</w:t>
      </w:r>
    </w:p>
    <w:p>
      <w:pPr>
        <w:spacing w:after="120" w:line="276"/>
      </w:pPr>
      <w:r>
        <w:rPr>
          <w:rFonts w:ascii="Calibri" w:cs="Calibri" w:eastAsia="Calibri" w:hAnsi="Calibri"/>
          <w:sz w:val="20"/>
          <w:szCs w:val="20"/>
        </w:rPr>
        <w:t xml:space="preserve">Processes that may be sub-contracted include profiling, heat treatment, painting/shot-blasting, non-destructive testing, and calibration/maintenance. Before engaging a sub-contractor, IDM assesses capability via a supplier quality assessment; approved suppliers are placed on the IDM Approved Suppliers List and only those are used. Sub-contractors provide records to verify work against the IDM purchase order (material certification, NDT procedures and operator qualifications, calibration certificates, dimensional checks, heat-treatment and painting reports).</w:t>
      </w:r>
    </w:p>
    <w:p>
      <w:pPr>
        <w:pStyle w:val="Heading1"/>
        <w:spacing w:after="120" w:before="260"/>
      </w:pPr>
      <w:r>
        <w:rPr>
          <w:rFonts w:ascii="Calibri" w:cs="Calibri" w:eastAsia="Calibri" w:hAnsi="Calibri"/>
          <w:b/>
          <w:bCs/>
          <w:color w:val="1F3864"/>
          <w:sz w:val="26"/>
          <w:szCs w:val="26"/>
        </w:rPr>
        <w:t xml:space="preserve">6.  Welding personnel</w:t>
      </w:r>
    </w:p>
    <w:p>
      <w:pPr>
        <w:pStyle w:val="Heading2"/>
        <w:spacing w:after="100" w:before="180"/>
      </w:pPr>
      <w:r>
        <w:rPr>
          <w:rFonts w:ascii="Calibri" w:cs="Calibri" w:eastAsia="Calibri" w:hAnsi="Calibri"/>
          <w:b/>
          <w:bCs/>
          <w:color w:val="2E5395"/>
          <w:sz w:val="22"/>
          <w:szCs w:val="22"/>
        </w:rPr>
        <w:t xml:space="preserve">General competence</w:t>
      </w:r>
    </w:p>
    <w:p>
      <w:pPr>
        <w:spacing w:after="120" w:line="276"/>
      </w:pPr>
      <w:r>
        <w:rPr>
          <w:rFonts w:ascii="Calibri" w:cs="Calibri" w:eastAsia="Calibri" w:hAnsi="Calibri"/>
          <w:sz w:val="20"/>
          <w:szCs w:val="20"/>
        </w:rPr>
        <w:t xml:space="preserve">All personnel involved in welding and related activities are competent for the work undertaken, through appropriate experience, external training, nationally/internationally recognised schemes (e.g. CSWIP, PCN) or internal training.</w:t>
      </w:r>
    </w:p>
    <w:p>
      <w:pPr>
        <w:pStyle w:val="Heading2"/>
        <w:spacing w:after="100" w:before="180"/>
      </w:pPr>
      <w:r>
        <w:rPr>
          <w:rFonts w:ascii="Calibri" w:cs="Calibri" w:eastAsia="Calibri" w:hAnsi="Calibri"/>
          <w:b/>
          <w:bCs/>
          <w:color w:val="2E5395"/>
          <w:sz w:val="22"/>
          <w:szCs w:val="22"/>
        </w:rPr>
        <w:t xml:space="preserve">Qualification of welders and operators</w:t>
      </w:r>
    </w:p>
    <w:p>
      <w:pPr>
        <w:spacing w:after="120" w:line="276"/>
      </w:pPr>
      <w:r>
        <w:rPr>
          <w:rFonts w:ascii="Calibri" w:cs="Calibri" w:eastAsia="Calibri" w:hAnsi="Calibri"/>
          <w:sz w:val="20"/>
          <w:szCs w:val="20"/>
        </w:rPr>
        <w:t xml:space="preserve">Welders and operators complete qualification tests for the work they undertake, to EN ISO 9606-1 and EN ISO 14732 (unless the contract specifies an alternative such as ASME IX or AWS D1.1). All tests are witnessed by an independent examiner/examining body. Qualifications are re-qualified or re-validated by ISO 9606 methods A and B; method C is not used. A register of welders and their qualifications is maintained for use by works supervision when allocating tasks.</w:t>
      </w:r>
    </w:p>
    <w:p>
      <w:pPr>
        <w:pStyle w:val="Heading2"/>
        <w:spacing w:after="80" w:before="200"/>
      </w:pPr>
      <w:r>
        <w:rPr>
          <w:rFonts w:ascii="Calibri" w:cs="Calibri" w:eastAsia="Calibri" w:hAnsi="Calibri"/>
          <w:b/>
          <w:bCs/>
          <w:color w:val="2E5C8A"/>
          <w:sz w:val="22"/>
          <w:szCs w:val="22"/>
        </w:rPr>
        <w:t xml:space="preserve">Continuity of qualification</w:t>
      </w:r>
    </w:p>
    <w:p>
      <w:pPr>
        <w:spacing w:after="120" w:line="264"/>
      </w:pPr>
      <w:r>
        <w:rPr>
          <w:rFonts w:ascii="Calibri" w:cs="Calibri" w:eastAsia="Calibri" w:hAnsi="Calibri"/>
          <w:sz w:val="20"/>
          <w:szCs w:val="20"/>
        </w:rPr>
        <w:t xml:space="preserve">Validity of a welder or operator qualification depends on the periodic confirmation required by EN ISO 9606-1 as well as the certificate expiry date. A certificate whose confirmations are not signed within the required interval is not valid, whatever its printed expiry date.</w:t>
      </w:r>
    </w:p>
    <w:p>
      <w:pPr>
        <w:spacing w:after="120" w:line="264"/>
      </w:pPr>
      <w:r>
        <w:rPr>
          <w:rFonts w:ascii="Calibri" w:cs="Calibri" w:eastAsia="Calibri" w:hAnsi="Calibri"/>
          <w:sz w:val="20"/>
          <w:szCs w:val="20"/>
        </w:rPr>
        <w:t xml:space="preserve">The following allocation applies so that the confirmation cycle cannot lapse unnoticed:</w:t>
      </w:r>
    </w:p>
    <w:p>
      <w:pPr>
        <w:pStyle w:val="ListParagraph"/>
        <w:numPr>
          <w:ilvl w:val="0"/>
          <w:numId w:val="1"/>
        </w:numPr>
        <w:spacing w:after="40" w:line="264"/>
      </w:pPr>
      <w:r>
        <w:rPr>
          <w:rFonts w:ascii="Calibri" w:cs="Calibri" w:eastAsia="Calibri" w:hAnsi="Calibri"/>
          <w:sz w:val="20"/>
          <w:szCs w:val="20"/>
        </w:rPr>
        <w:t xml:space="preserve">The Welding Qualification Register records, for every welder, each confirmation window and its due date.</w:t>
      </w:r>
    </w:p>
    <w:p>
      <w:pPr>
        <w:pStyle w:val="ListParagraph"/>
        <w:numPr>
          <w:ilvl w:val="0"/>
          <w:numId w:val="1"/>
        </w:numPr>
        <w:spacing w:after="40" w:line="264"/>
      </w:pPr>
      <w:r>
        <w:rPr>
          <w:rFonts w:ascii="Calibri" w:cs="Calibri" w:eastAsia="Calibri" w:hAnsi="Calibri"/>
          <w:sz w:val="20"/>
          <w:szCs w:val="20"/>
        </w:rPr>
        <w:t xml:space="preserve">The Welding Coordinator (internal) reviews the register monthly and notifies the RWC of any confirmation falling due within the next month.</w:t>
      </w:r>
    </w:p>
    <w:p>
      <w:pPr>
        <w:pStyle w:val="ListParagraph"/>
        <w:numPr>
          <w:ilvl w:val="0"/>
          <w:numId w:val="1"/>
        </w:numPr>
        <w:spacing w:after="40" w:line="264"/>
      </w:pPr>
      <w:r>
        <w:rPr>
          <w:rFonts w:ascii="Calibri" w:cs="Calibri" w:eastAsia="Calibri" w:hAnsi="Calibri"/>
          <w:sz w:val="20"/>
          <w:szCs w:val="20"/>
        </w:rPr>
        <w:t xml:space="preserve">The RWC signs the confirmation, on evidence that the welder has worked within the qualification range, and records the signing in the welding activity log.</w:t>
      </w:r>
    </w:p>
    <w:p>
      <w:pPr>
        <w:pStyle w:val="ListParagraph"/>
        <w:numPr>
          <w:ilvl w:val="0"/>
          <w:numId w:val="1"/>
        </w:numPr>
        <w:spacing w:after="40" w:line="264"/>
      </w:pPr>
      <w:r>
        <w:rPr>
          <w:rFonts w:ascii="Calibri" w:cs="Calibri" w:eastAsia="Calibri" w:hAnsi="Calibri"/>
          <w:sz w:val="20"/>
          <w:szCs w:val="20"/>
        </w:rPr>
        <w:t xml:space="preserve">A welder whose confirmation is overdue is not allocated work within that qualification range until the position is resolved by the RWC.</w:t>
      </w:r>
    </w:p>
    <w:p>
      <w:pPr>
        <w:pStyle w:val="ListParagraph"/>
        <w:numPr>
          <w:ilvl w:val="0"/>
          <w:numId w:val="1"/>
        </w:numPr>
        <w:spacing w:after="40" w:line="264"/>
      </w:pPr>
      <w:r>
        <w:rPr>
          <w:rFonts w:ascii="Calibri" w:cs="Calibri" w:eastAsia="Calibri" w:hAnsi="Calibri"/>
          <w:sz w:val="20"/>
          <w:szCs w:val="20"/>
        </w:rPr>
        <w:t xml:space="preserve">Any retrospective signing of a missed confirmation window is a decision for the RWC alone, is made in writing, and states the evidence relied upon.</w:t>
      </w:r>
    </w:p>
    <w:p>
      <w:pPr>
        <w:spacing w:after="120" w:line="264"/>
      </w:pPr>
      <w:r>
        <w:rPr>
          <w:rFonts w:ascii="Calibri" w:cs="Calibri" w:eastAsia="Calibri" w:hAnsi="Calibri"/>
          <w:i/>
          <w:iCs/>
          <w:sz w:val="20"/>
          <w:szCs w:val="20"/>
        </w:rPr>
        <w:t xml:space="preserve">Current position at Rev 4: confirmation windows are outstanding across the existing welder certificates and are being resolved with the RWC. This manual is not issued as a description of settled practice until that position is cleared. [TBC]</w:t>
      </w:r>
    </w:p>
    <w:p>
      <w:pPr>
        <w:pStyle w:val="Heading1"/>
        <w:spacing w:after="120" w:before="260"/>
      </w:pPr>
      <w:r>
        <w:rPr>
          <w:rFonts w:ascii="Calibri" w:cs="Calibri" w:eastAsia="Calibri" w:hAnsi="Calibri"/>
          <w:b/>
          <w:bCs/>
          <w:color w:val="1F3864"/>
          <w:sz w:val="26"/>
          <w:szCs w:val="26"/>
        </w:rPr>
        <w:t xml:space="preserve">7.  Welding coordination (EN ISO 14731)</w:t>
      </w:r>
    </w:p>
    <w:p>
      <w:pPr>
        <w:spacing w:after="120" w:line="276"/>
      </w:pPr>
      <w:r>
        <w:rPr>
          <w:rFonts w:ascii="Calibri" w:cs="Calibri" w:eastAsia="Calibri" w:hAnsi="Calibri"/>
          <w:sz w:val="20"/>
          <w:szCs w:val="20"/>
        </w:rPr>
        <w:t xml:space="preserve">Welding coordination personnel hold sufficient technical knowledge and experience for the work undertaken. IDM engages an external Responsible Welding Coordinator (RWC) to carry out welding engineering activities. The RWC’s tasks and responsibilities, per EN ISO 14731, are detailed in Annex A; the organisational position is shown in Annex B.</w:t>
      </w:r>
    </w:p>
    <w:p>
      <w:pPr>
        <w:spacing w:after="120" w:line="276"/>
      </w:pPr>
      <w:r>
        <w:rPr>
          <w:rFonts w:ascii="Calibri" w:cs="Calibri" w:eastAsia="Calibri" w:hAnsi="Calibri"/>
          <w:b/>
          <w:bCs/>
          <w:sz w:val="20"/>
          <w:szCs w:val="20"/>
        </w:rPr>
        <w:t xml:space="preserve">CL2 competence and external arrangement (to confirm). </w:t>
      </w:r>
      <w:r>
        <w:rPr>
          <w:rFonts w:ascii="Calibri" w:cs="Calibri" w:eastAsia="Calibri" w:hAnsi="Calibri"/>
          <w:sz w:val="20"/>
          <w:szCs w:val="20"/>
        </w:rPr>
        <w:t xml:space="preserve">For EN 15085-2 CL2, the RWC must hold comprehensive technical knowledge (IWE/EWE level or equivalent) covering all materials in scope. Where the RWC is external, the appointment must be contractually embedded in IDM’s organisation with defined authority and availability, which the certification body will assess. The proposed external RWC (Axis NDT) is to be verified against these requirements before issue.</w:t>
      </w:r>
    </w:p>
    <w:p>
      <w:pPr>
        <w:spacing w:after="120" w:line="264"/>
      </w:pPr>
      <w:r>
        <w:rPr>
          <w:rFonts w:ascii="Calibri" w:cs="Calibri" w:eastAsia="Calibri" w:hAnsi="Calibri"/>
          <w:sz w:val="20"/>
          <w:szCs w:val="20"/>
        </w:rPr>
        <w:t xml:space="preserve">Deputy and availability. A deputy welding coordinator is nominated so that no essential welding task is suspended by the absence of the RWC. The appointment record states the RWC’s committed availability, the response time for a referred decision, the escalation route into IDM where that response time is not met, and the tasks the deputy may and may not discharge. [TBC — deputy not yet nominated]</w:t>
      </w:r>
    </w:p>
    <w:p>
      <w:pPr>
        <w:spacing w:after="120" w:line="264"/>
      </w:pPr>
      <w:r>
        <w:rPr>
          <w:rFonts w:ascii="Calibri" w:cs="Calibri" w:eastAsia="Calibri" w:hAnsi="Calibri"/>
          <w:sz w:val="20"/>
          <w:szCs w:val="20"/>
        </w:rPr>
        <w:t xml:space="preserve">Appointment record. The RWC appointment, the scope of delegated authority set out in Annex A, and the competence evidence relied upon are held as a controlled record and reviewed on any change of personnel, scope or certification level.</w:t>
      </w:r>
    </w:p>
    <w:p>
      <w:pPr>
        <w:pStyle w:val="Heading2"/>
        <w:spacing w:after="80" w:before="200"/>
      </w:pPr>
      <w:r>
        <w:rPr>
          <w:rFonts w:ascii="Calibri" w:cs="Calibri" w:eastAsia="Calibri" w:hAnsi="Calibri"/>
          <w:b/>
          <w:bCs/>
          <w:color w:val="2E5C8A"/>
          <w:sz w:val="22"/>
          <w:szCs w:val="22"/>
        </w:rPr>
        <w:t xml:space="preserve">Internal welding coordinator</w:t>
      </w:r>
    </w:p>
    <w:p>
      <w:pPr>
        <w:spacing w:after="120" w:line="264"/>
      </w:pPr>
      <w:r>
        <w:rPr>
          <w:rFonts w:ascii="Calibri" w:cs="Calibri" w:eastAsia="Calibri" w:hAnsi="Calibri"/>
          <w:sz w:val="20"/>
          <w:szCs w:val="20"/>
        </w:rPr>
        <w:t xml:space="preserve">IDM appoints an internal Welding Coordinator who performs the day-to-day coordination tasks allocated in Annex A under the authority of the RWC. The internal coordinator does not hold the responsibility of the RWC and does not approve any task marked A in Annex A.</w:t>
      </w:r>
    </w:p>
    <w:p>
      <w:pPr>
        <w:spacing w:after="120" w:line="264"/>
      </w:pPr>
      <w:r>
        <w:rPr>
          <w:rFonts w:ascii="Calibri" w:cs="Calibri" w:eastAsia="Calibri" w:hAnsi="Calibri"/>
          <w:sz w:val="20"/>
          <w:szCs w:val="20"/>
        </w:rPr>
        <w:t xml:space="preserve">Competence. The internal coordinator’s competence for the allocated tasks is assessed and recorded by the RWC against BS EN ISO 14731 before appointment. A welder or operator qualification does not of itself demonstrate coordination competence. Training needs identified at assessment are recorded and closed out.</w:t>
      </w:r>
    </w:p>
    <w:p>
      <w:pPr>
        <w:spacing w:after="120" w:line="264"/>
      </w:pPr>
      <w:r>
        <w:rPr>
          <w:rFonts w:ascii="Calibri" w:cs="Calibri" w:eastAsia="Calibri" w:hAnsi="Calibri"/>
          <w:sz w:val="20"/>
          <w:szCs w:val="20"/>
        </w:rPr>
        <w:t xml:space="preserve">Independence where the coordinator also welds. Where the internal coordinator is also a production welder, the following applies without exception:</w:t>
      </w:r>
    </w:p>
    <w:p>
      <w:pPr>
        <w:pStyle w:val="ListParagraph"/>
        <w:numPr>
          <w:ilvl w:val="0"/>
          <w:numId w:val="1"/>
        </w:numPr>
        <w:spacing w:after="40" w:line="264"/>
      </w:pPr>
      <w:r>
        <w:rPr>
          <w:rFonts w:ascii="Calibri" w:cs="Calibri" w:eastAsia="Calibri" w:hAnsi="Calibri"/>
          <w:sz w:val="20"/>
          <w:szCs w:val="20"/>
        </w:rPr>
        <w:t xml:space="preserve">The internal coordinator does not carry out or sign the inspection required by Annex A tasks B.12, B.13 or B.14 on any weld they personally made.</w:t>
      </w:r>
    </w:p>
    <w:p>
      <w:pPr>
        <w:pStyle w:val="ListParagraph"/>
        <w:numPr>
          <w:ilvl w:val="0"/>
          <w:numId w:val="1"/>
        </w:numPr>
        <w:spacing w:after="40" w:line="264"/>
      </w:pPr>
      <w:r>
        <w:rPr>
          <w:rFonts w:ascii="Calibri" w:cs="Calibri" w:eastAsia="Calibri" w:hAnsi="Calibri"/>
          <w:sz w:val="20"/>
          <w:szCs w:val="20"/>
        </w:rPr>
        <w:t xml:space="preserve">Those inspections are performed by another competent person or by the sub-contract NDT organisation, and referred to the RWC where no independent person is available.</w:t>
      </w:r>
    </w:p>
    <w:p>
      <w:pPr>
        <w:pStyle w:val="ListParagraph"/>
        <w:numPr>
          <w:ilvl w:val="0"/>
          <w:numId w:val="1"/>
        </w:numPr>
        <w:spacing w:after="40" w:line="264"/>
      </w:pPr>
      <w:r>
        <w:rPr>
          <w:rFonts w:ascii="Calibri" w:cs="Calibri" w:eastAsia="Calibri" w:hAnsi="Calibri"/>
          <w:sz w:val="20"/>
          <w:szCs w:val="20"/>
        </w:rPr>
        <w:t xml:space="preserve">The internal coordinator takes no part in the confirmation, prolongation or re-validation of their own welder qualification; those decisions rest with the RWC alone.</w:t>
      </w:r>
    </w:p>
    <w:p>
      <w:pPr>
        <w:pStyle w:val="ListParagraph"/>
        <w:numPr>
          <w:ilvl w:val="0"/>
          <w:numId w:val="1"/>
        </w:numPr>
        <w:spacing w:after="40" w:line="264"/>
      </w:pPr>
      <w:r>
        <w:rPr>
          <w:rFonts w:ascii="Calibri" w:cs="Calibri" w:eastAsia="Calibri" w:hAnsi="Calibri"/>
          <w:sz w:val="20"/>
          <w:szCs w:val="20"/>
        </w:rPr>
        <w:t xml:space="preserve">Where a weld made by the internal coordinator is the subject of a non-conformance, the investigation is referred to the RWC.</w:t>
      </w:r>
    </w:p>
    <w:p>
      <w:pPr>
        <w:spacing w:after="120" w:line="264"/>
      </w:pPr>
      <w:r>
        <w:rPr>
          <w:rFonts w:ascii="Calibri" w:cs="Calibri" w:eastAsia="Calibri" w:hAnsi="Calibri"/>
          <w:i/>
          <w:iCs/>
          <w:sz w:val="20"/>
          <w:szCs w:val="20"/>
        </w:rPr>
        <w:t xml:space="preserve">Current position at Rev 4: the proposed internal coordinator is N. Collins-Hopkins, whose own welder qualification continuity position is among those outstanding with the RWC. The appointment is not recorded until that position is resolved and competence is assessed. [TBC]</w:t>
      </w:r>
    </w:p>
    <w:p>
      <w:pPr>
        <w:spacing w:after="120" w:line="276"/>
      </w:pPr>
      <w:r>
        <w:rPr>
          <w:rFonts w:ascii="Calibri" w:cs="Calibri" w:eastAsia="Calibri" w:hAnsi="Calibri"/>
          <w:sz w:val="20"/>
          <w:szCs w:val="20"/>
        </w:rPr>
        <w:t xml:space="preserve">The RWC role includes: liaison with IDM personnel, NDT personnel, external bodies and inspectors; generation and qualification of WPSs; maintenance and monitoring of the welding quality management system; review and maintenance of standards; and investigation of weld failures.</w:t>
      </w:r>
    </w:p>
    <w:p>
      <w:pPr>
        <w:pStyle w:val="Heading1"/>
        <w:spacing w:after="120" w:before="260"/>
      </w:pPr>
      <w:r>
        <w:rPr>
          <w:rFonts w:ascii="Calibri" w:cs="Calibri" w:eastAsia="Calibri" w:hAnsi="Calibri"/>
          <w:b/>
          <w:bCs/>
          <w:color w:val="1F3864"/>
          <w:sz w:val="26"/>
          <w:szCs w:val="26"/>
        </w:rPr>
        <w:t xml:space="preserve">8.  Inspection and NDT personnel</w:t>
      </w:r>
    </w:p>
    <w:p>
      <w:pPr>
        <w:spacing w:after="120" w:line="276"/>
      </w:pPr>
      <w:r>
        <w:rPr>
          <w:rFonts w:ascii="Calibri" w:cs="Calibri" w:eastAsia="Calibri" w:hAnsi="Calibri"/>
          <w:sz w:val="20"/>
          <w:szCs w:val="20"/>
        </w:rPr>
        <w:t xml:space="preserve">Personnel carrying out visual and non-destructive testing are qualified to recognised certification schemes. IDM engages a sub-contract NDT organisation (Axis NDT) for surface-breaking and volumetric techniques. Copies of NDT operator qualification certificates are held and their validity checked. The minimum qualification for NDT operators is EN ISO 9712 Level 2; all NDT procedures used are signed off by an EN ISO 9712 Level 3 inspector.</w:t>
      </w:r>
    </w:p>
    <w:p>
      <w:pPr>
        <w:pStyle w:val="Heading1"/>
        <w:spacing w:after="120" w:before="260"/>
      </w:pPr>
      <w:r>
        <w:rPr>
          <w:rFonts w:ascii="Calibri" w:cs="Calibri" w:eastAsia="Calibri" w:hAnsi="Calibri"/>
          <w:b/>
          <w:bCs/>
          <w:color w:val="1F3864"/>
          <w:sz w:val="26"/>
          <w:szCs w:val="26"/>
        </w:rPr>
        <w:t xml:space="preserve">9.  Equipment and calibration</w:t>
      </w:r>
    </w:p>
    <w:p>
      <w:pPr>
        <w:spacing w:after="120" w:line="276"/>
      </w:pPr>
      <w:r>
        <w:rPr>
          <w:rFonts w:ascii="Calibri" w:cs="Calibri" w:eastAsia="Calibri" w:hAnsi="Calibri"/>
          <w:sz w:val="20"/>
          <w:szCs w:val="20"/>
        </w:rPr>
        <w:t xml:space="preserve">IDM maintains the production and testing equipment appropriate to its work — calibrated and maintained welding power sources, cutting/grinding/preparation equipment, pre-heating equipment, jigs and fixtures, handling equipment and PPE. Essential equipment and workshop capacity are recorded in the IDM Plant Register. New, repaired or refurbished equipment is tested before use and added to the asset register.</w:t>
      </w:r>
    </w:p>
    <w:p>
      <w:pPr>
        <w:spacing w:after="120" w:line="276"/>
      </w:pPr>
      <w:r>
        <w:rPr>
          <w:rFonts w:ascii="Calibri" w:cs="Calibri" w:eastAsia="Calibri" w:hAnsi="Calibri"/>
          <w:sz w:val="20"/>
          <w:szCs w:val="20"/>
        </w:rPr>
        <w:t xml:space="preserve">Welding plant is calibrated/validated at intervals not exceeding 12 months by an approved sub-contractor, with certificates held by the General Manager. Plant that fails calibration or whose calibration has expired is withdrawn and labelled “Not to be used”. Measuring and inspection equipment essential for production is registered and maintained with traceability to national/international standards.</w:t>
      </w:r>
    </w:p>
    <w:p>
      <w:pPr>
        <w:pStyle w:val="Heading1"/>
        <w:spacing w:after="120" w:before="260"/>
      </w:pPr>
      <w:r>
        <w:rPr>
          <w:rFonts w:ascii="Calibri" w:cs="Calibri" w:eastAsia="Calibri" w:hAnsi="Calibri"/>
          <w:b/>
          <w:bCs/>
          <w:color w:val="1F3864"/>
          <w:sz w:val="26"/>
          <w:szCs w:val="26"/>
        </w:rPr>
        <w:t xml:space="preserve">10.  Production planning, procedures and work instructions</w:t>
      </w:r>
    </w:p>
    <w:p>
      <w:pPr>
        <w:spacing w:after="120" w:line="276"/>
      </w:pPr>
      <w:r>
        <w:rPr>
          <w:rFonts w:ascii="Calibri" w:cs="Calibri" w:eastAsia="Calibri" w:hAnsi="Calibri"/>
          <w:sz w:val="20"/>
          <w:szCs w:val="20"/>
        </w:rPr>
        <w:t xml:space="preserve">IDM plans and controls welding through its ISO 9001 system, considering manufacturing sequence, individual processes, reference WPSs, allocation of qualified personnel, weld sequence, inspection and testing (including independent bodies), batch/component identification and any production testing. On receipt of an order a job card is created carrying the customer order number, IDM job number and drawing number(s); where required, a Quality/Inspection and Test Plan (ITP) is generated before job cards are issued to the workshop.</w:t>
      </w:r>
    </w:p>
    <w:p>
      <w:pPr>
        <w:pStyle w:val="Heading2"/>
        <w:spacing w:after="100" w:before="180"/>
      </w:pPr>
      <w:r>
        <w:rPr>
          <w:rFonts w:ascii="Calibri" w:cs="Calibri" w:eastAsia="Calibri" w:hAnsi="Calibri"/>
          <w:b/>
          <w:bCs/>
          <w:color w:val="2E5395"/>
          <w:sz w:val="22"/>
          <w:szCs w:val="22"/>
        </w:rPr>
        <w:t xml:space="preserve">WPS and WPQR</w:t>
      </w:r>
    </w:p>
    <w:p>
      <w:pPr>
        <w:spacing w:after="120" w:line="276"/>
      </w:pPr>
      <w:r>
        <w:rPr>
          <w:rFonts w:ascii="Calibri" w:cs="Calibri" w:eastAsia="Calibri" w:hAnsi="Calibri"/>
          <w:sz w:val="20"/>
          <w:szCs w:val="20"/>
        </w:rPr>
        <w:t xml:space="preserve">Welding Procedure Specifications (WPS) are prepared to satisfy the work and are qualified before production use. A list of available WPSs is maintained for reference at enquiry/quotation; only those qualified and authorised are signed, dated and issued, and the relevant WPS is specified on the route card and filed at the welding workstation. Welding Procedure Qualification Records (WPQR) are qualified to the relevant product/contract standard (e.g. EN ISO 15614-1, ASME IX, AWS D1.1), witnessed by a recognised third-party body, with mechanical testing at a UKAS-accredited laboratory.</w:t>
      </w:r>
    </w:p>
    <w:p>
      <w:pPr>
        <w:spacing w:after="120" w:line="276"/>
      </w:pPr>
      <w:r>
        <w:rPr>
          <w:rFonts w:ascii="Calibri" w:cs="Calibri" w:eastAsia="Calibri" w:hAnsi="Calibri"/>
          <w:sz w:val="20"/>
          <w:szCs w:val="20"/>
        </w:rPr>
        <w:t xml:space="preserve">For certain railway and nuclear products, contract-specific Work Instructions are provided as approved documents by the client, either generic to the product or specific as required.</w:t>
      </w:r>
    </w:p>
    <w:p>
      <w:pPr>
        <w:pStyle w:val="Heading1"/>
        <w:spacing w:after="120" w:before="260"/>
      </w:pPr>
      <w:r>
        <w:rPr>
          <w:rFonts w:ascii="Calibri" w:cs="Calibri" w:eastAsia="Calibri" w:hAnsi="Calibri"/>
          <w:b/>
          <w:bCs/>
          <w:color w:val="1F3864"/>
          <w:sz w:val="26"/>
          <w:szCs w:val="26"/>
        </w:rPr>
        <w:t xml:space="preserve">11.  Consumables and parent material</w:t>
      </w:r>
    </w:p>
    <w:p>
      <w:pPr>
        <w:spacing w:after="120" w:line="276"/>
      </w:pPr>
      <w:r>
        <w:rPr>
          <w:rFonts w:ascii="Calibri" w:cs="Calibri" w:eastAsia="Calibri" w:hAnsi="Calibri"/>
          <w:sz w:val="20"/>
          <w:szCs w:val="20"/>
        </w:rPr>
        <w:t xml:space="preserve">Welding consumables are received sealed, stored and handled per the manufacturer’s instructions, and checked against the order with the appropriate certification before use; test certificates are held electronically and in hard copy. Consumables are booked out on the Welding Consumable Issue Record Sheet, with a daily humidity/temperature check by the internal welding coordinator. Unused consumables are returned or, for MMA electrodes, disposed of at shift end; wherever possible MMA consumables are used in vac-packs to avoid drying/re-baking. Special consumables are ordered against a specific job, marked accordingly, and flagged on the technical review.</w:t>
      </w:r>
    </w:p>
    <w:p>
      <w:pPr>
        <w:spacing w:after="120" w:line="276"/>
      </w:pPr>
      <w:r>
        <w:rPr>
          <w:rFonts w:ascii="Calibri" w:cs="Calibri" w:eastAsia="Calibri" w:hAnsi="Calibri"/>
          <w:sz w:val="20"/>
          <w:szCs w:val="20"/>
        </w:rPr>
        <w:t xml:space="preserve">Parent material, including client-supplied material, is stored so identification is clearly maintained and condition is not adversely affected, per the ISO 9001 system and FPC 01.</w:t>
      </w:r>
    </w:p>
    <w:p>
      <w:pPr>
        <w:pStyle w:val="Heading1"/>
        <w:spacing w:after="120" w:before="260"/>
      </w:pPr>
      <w:r>
        <w:rPr>
          <w:rFonts w:ascii="Calibri" w:cs="Calibri" w:eastAsia="Calibri" w:hAnsi="Calibri"/>
          <w:b/>
          <w:bCs/>
          <w:color w:val="1F3864"/>
          <w:sz w:val="26"/>
          <w:szCs w:val="26"/>
        </w:rPr>
        <w:t xml:space="preserve">12.  Inspection and testing</w:t>
      </w:r>
    </w:p>
    <w:p>
      <w:pPr>
        <w:spacing w:after="120" w:line="276"/>
      </w:pPr>
      <w:r>
        <w:rPr>
          <w:rFonts w:ascii="Calibri" w:cs="Calibri" w:eastAsia="Calibri" w:hAnsi="Calibri"/>
          <w:sz w:val="20"/>
          <w:szCs w:val="20"/>
        </w:rPr>
        <w:t xml:space="preserve">Inspection and test requirements are identified at the technical review and included on job cards or, where required, in a project-specific ITP, implemented at the appropriate frequency, location and stage.</w:t>
      </w:r>
    </w:p>
    <w:p>
      <w:pPr>
        <w:pStyle w:val="ListParagraph"/>
        <w:numPr>
          <w:ilvl w:val="0"/>
          <w:numId w:val="1"/>
        </w:numPr>
        <w:spacing w:after="40" w:line="264"/>
      </w:pPr>
      <w:r>
        <w:rPr>
          <w:rFonts w:ascii="Calibri" w:cs="Calibri" w:eastAsia="Calibri" w:hAnsi="Calibri"/>
          <w:sz w:val="20"/>
          <w:szCs w:val="20"/>
        </w:rPr>
        <w:t xml:space="preserve">Before welding: welder qualification validity; WPS suitability; identity of parent material and consumables; joint preparation; fit-up, jigging and tacking; special WPS requirements; suitability of working conditions.</w:t>
      </w:r>
    </w:p>
    <w:p>
      <w:pPr>
        <w:pStyle w:val="ListParagraph"/>
        <w:numPr>
          <w:ilvl w:val="0"/>
          <w:numId w:val="1"/>
        </w:numPr>
        <w:spacing w:after="40" w:line="264"/>
      </w:pPr>
      <w:r>
        <w:rPr>
          <w:rFonts w:ascii="Calibri" w:cs="Calibri" w:eastAsia="Calibri" w:hAnsi="Calibri"/>
          <w:sz w:val="20"/>
          <w:szCs w:val="20"/>
        </w:rPr>
        <w:t xml:space="preserve">During welding: essential parameters (current, voltage, travel speed), pre-heat/interpass temperature, cleaning and shape of runs, back-gouging, weld sequence, consumable handling, distortion control and intermediate checks — recorded on a Weld Surveillance Sheet.</w:t>
      </w:r>
    </w:p>
    <w:p>
      <w:pPr>
        <w:pStyle w:val="ListParagraph"/>
        <w:numPr>
          <w:ilvl w:val="0"/>
          <w:numId w:val="1"/>
        </w:numPr>
        <w:spacing w:after="40" w:line="264"/>
      </w:pPr>
      <w:r>
        <w:rPr>
          <w:rFonts w:ascii="Calibri" w:cs="Calibri" w:eastAsia="Calibri" w:hAnsi="Calibri"/>
          <w:sz w:val="20"/>
          <w:szCs w:val="20"/>
        </w:rPr>
        <w:t xml:space="preserve">After welding: visual inspection (100% on all contracts), NDT, destructive testing, dimensional inspection and records of post-weld operations — recorded on job cards, dimensional and NDT reports and, where required, a final documentation pack.</w:t>
      </w:r>
    </w:p>
    <w:p>
      <w:pPr>
        <w:spacing w:after="120" w:line="276"/>
      </w:pPr>
      <w:r>
        <w:rPr>
          <w:rFonts w:ascii="Calibri" w:cs="Calibri" w:eastAsia="Calibri" w:hAnsi="Calibri"/>
          <w:sz w:val="20"/>
          <w:szCs w:val="20"/>
        </w:rPr>
        <w:t xml:space="preserve">Post-weld heat treatment (PWHT), where required, is confirmed at the technical review, carried out by an approved sub-contractor with calibrated equipment, and recorded on a heat-treatment chart for the documentation pack. Inspection and test status is identified via job cards and, where applicable, the ITP.</w:t>
      </w:r>
    </w:p>
    <w:p>
      <w:pPr>
        <w:pStyle w:val="Heading1"/>
        <w:spacing w:after="120" w:before="260"/>
      </w:pPr>
      <w:r>
        <w:rPr>
          <w:rFonts w:ascii="Calibri" w:cs="Calibri" w:eastAsia="Calibri" w:hAnsi="Calibri"/>
          <w:b/>
          <w:bCs/>
          <w:color w:val="1F3864"/>
          <w:sz w:val="26"/>
          <w:szCs w:val="26"/>
        </w:rPr>
        <w:t xml:space="preserve">13.  Non-conformance and corrective action</w:t>
      </w:r>
    </w:p>
    <w:p>
      <w:pPr>
        <w:spacing w:after="120" w:line="276"/>
      </w:pPr>
      <w:r>
        <w:rPr>
          <w:rFonts w:ascii="Calibri" w:cs="Calibri" w:eastAsia="Calibri" w:hAnsi="Calibri"/>
          <w:sz w:val="20"/>
          <w:szCs w:val="20"/>
        </w:rPr>
        <w:t xml:space="preserve">Non-conformance and corrective action are controlled within the ISO 9001 system (QP03), aiming to identify non-conformity as early as possible. A Non-Conformity Report (NCR) is raised and passed to the appropriate manager. Welding-related non-conformances are referred to the RWC to consider immediate remedial action, stopping the process, recall of completed items, feasibility and method of re-welding, weld repairs (per FPC 04) and reassessment, lessons learnt, and welder competency/training needs.</w:t>
      </w:r>
    </w:p>
    <w:p>
      <w:pPr>
        <w:pStyle w:val="Heading1"/>
        <w:spacing w:after="120" w:before="260"/>
      </w:pPr>
      <w:r>
        <w:rPr>
          <w:rFonts w:ascii="Calibri" w:cs="Calibri" w:eastAsia="Calibri" w:hAnsi="Calibri"/>
          <w:b/>
          <w:bCs/>
          <w:color w:val="1F3864"/>
          <w:sz w:val="26"/>
          <w:szCs w:val="26"/>
        </w:rPr>
        <w:t xml:space="preserve">14.  Identification, traceability and quality records</w:t>
      </w:r>
    </w:p>
    <w:p>
      <w:pPr>
        <w:spacing w:after="120" w:line="276"/>
      </w:pPr>
      <w:r>
        <w:rPr>
          <w:rFonts w:ascii="Calibri" w:cs="Calibri" w:eastAsia="Calibri" w:hAnsi="Calibri"/>
          <w:sz w:val="20"/>
          <w:szCs w:val="20"/>
        </w:rPr>
        <w:t xml:space="preserve">IDM maintains documented systems for identification and traceability of welding activities — production plans, job/stage cards, weld locations, NDT procedures and personnel, consumables, parent material (type, cast number), repair and temporary-attachment locations, and traceability of welders and WPSs to specific welds — enabling a full document pack (weld map, welder qualifications, consumable certificates) on completion.</w:t>
      </w:r>
    </w:p>
    <w:p>
      <w:pPr>
        <w:spacing w:after="120" w:line="276"/>
      </w:pPr>
      <w:r>
        <w:rPr>
          <w:rFonts w:ascii="Calibri" w:cs="Calibri" w:eastAsia="Calibri" w:hAnsi="Calibri"/>
          <w:sz w:val="20"/>
          <w:szCs w:val="20"/>
        </w:rPr>
        <w:t xml:space="preserve">Welding-related quality records are held electronically under the client/job number and include requirements/technical reviews, material and consumable certification, WPS/WPQR, calibration certificates, NDT procedures/reports and personnel qualifications, welder qualifications, dimensional reports, and records of repairs and non-conformances. Records are retained for a minimum of ten years unless otherwise specified.</w:t>
      </w:r>
    </w:p>
    <w:p>
      <w:pPr>
        <w:pStyle w:val="Heading1"/>
        <w:spacing w:after="120" w:before="260"/>
      </w:pPr>
      <w:r>
        <w:rPr>
          <w:rFonts w:ascii="Calibri" w:cs="Calibri" w:eastAsia="Calibri" w:hAnsi="Calibri"/>
          <w:b/>
          <w:bCs/>
          <w:color w:val="1F3864"/>
          <w:sz w:val="26"/>
          <w:szCs w:val="26"/>
        </w:rPr>
        <w:t xml:space="preserve">15.  EN 15085-2 additions (railway welding, CL2)</w:t>
      </w:r>
    </w:p>
    <w:p>
      <w:pPr>
        <w:spacing w:after="120" w:line="276"/>
      </w:pPr>
      <w:r>
        <w:rPr>
          <w:rFonts w:ascii="Calibri" w:cs="Calibri" w:eastAsia="Calibri" w:hAnsi="Calibri"/>
          <w:sz w:val="20"/>
          <w:szCs w:val="20"/>
        </w:rPr>
        <w:t xml:space="preserve">For railway work, the following additions apply on top of the ISO 3834-2 core:</w:t>
      </w:r>
    </w:p>
    <w:p>
      <w:pPr>
        <w:pStyle w:val="ListParagraph"/>
        <w:numPr>
          <w:ilvl w:val="0"/>
          <w:numId w:val="1"/>
        </w:numPr>
        <w:spacing w:after="40" w:line="264"/>
      </w:pPr>
      <w:r>
        <w:rPr>
          <w:rFonts w:ascii="Calibri" w:cs="Calibri" w:eastAsia="Calibri" w:hAnsi="Calibri"/>
          <w:sz w:val="20"/>
          <w:szCs w:val="20"/>
        </w:rPr>
        <w:t xml:space="preserve">Weld performance classes are assigned to joints in accordance with BS EN 15085-3 from their stress and safety category, and the certification level follows from these. The performance class designations used on IDM drawings are to be taken from the current text of BS EN 15085-3 and from the customer drawing, not from this manual. Alstom drawing 24308 specifies CP C2 and weld inspection class CT 3 against a customer-imposed CL2.</w:t>
      </w:r>
    </w:p>
    <w:p>
      <w:pPr>
        <w:pStyle w:val="ListParagraph"/>
        <w:numPr>
          <w:ilvl w:val="0"/>
          <w:numId w:val="1"/>
        </w:numPr>
        <w:spacing w:after="40" w:line="264"/>
      </w:pPr>
      <w:r>
        <w:rPr>
          <w:rFonts w:ascii="Calibri" w:cs="Calibri" w:eastAsia="Calibri" w:hAnsi="Calibri"/>
          <w:sz w:val="20"/>
          <w:szCs w:val="20"/>
        </w:rPr>
        <w:t xml:space="preserve">A weld map / weld plan links each joint to its WPS, welder and inspection requirement.</w:t>
      </w:r>
    </w:p>
    <w:p>
      <w:pPr>
        <w:pStyle w:val="ListParagraph"/>
        <w:numPr>
          <w:ilvl w:val="0"/>
          <w:numId w:val="1"/>
        </w:numPr>
        <w:spacing w:after="40" w:line="264"/>
      </w:pPr>
      <w:r>
        <w:rPr>
          <w:rFonts w:ascii="Calibri" w:cs="Calibri" w:eastAsia="Calibri" w:hAnsi="Calibri"/>
          <w:sz w:val="20"/>
          <w:szCs w:val="20"/>
        </w:rPr>
        <w:t xml:space="preserve">Manufacturing and inspection documentation is retained per EN 15085-5, including weld history records.</w:t>
      </w:r>
    </w:p>
    <w:p>
      <w:pPr>
        <w:pStyle w:val="ListParagraph"/>
        <w:numPr>
          <w:ilvl w:val="0"/>
          <w:numId w:val="1"/>
        </w:numPr>
        <w:spacing w:after="40" w:line="264"/>
      </w:pPr>
      <w:r>
        <w:rPr>
          <w:rFonts w:ascii="Calibri" w:cs="Calibri" w:eastAsia="Calibri" w:hAnsi="Calibri"/>
          <w:sz w:val="20"/>
          <w:szCs w:val="20"/>
        </w:rPr>
        <w:t xml:space="preserve">The RWC holds competence appropriate to CL2 (see Section 7); welder and operator qualifications are current per EN ISO 9606 / EN ISO 14732.</w:t>
      </w:r>
    </w:p>
    <w:p>
      <w:pPr>
        <w:pStyle w:val="ListParagraph"/>
        <w:numPr>
          <w:ilvl w:val="0"/>
          <w:numId w:val="1"/>
        </w:numPr>
        <w:spacing w:after="40" w:line="264"/>
      </w:pPr>
      <w:r>
        <w:rPr>
          <w:rFonts w:ascii="Calibri" w:cs="Calibri" w:eastAsia="Calibri" w:hAnsi="Calibri"/>
          <w:sz w:val="20"/>
          <w:szCs w:val="20"/>
        </w:rPr>
        <w:t xml:space="preserve">Certification is by TWI Certification, appointed across BS EN ISO 3834-2, BS EN 1090-1 and BS EN 15085-2 so that the three standards are assessed as one programme.</w:t>
      </w:r>
    </w:p>
    <w:p>
      <w:r>
        <w:br w:type="page"/>
      </w:r>
    </w:p>
    <w:p>
      <w:r>
        <w:br w:type="page"/>
      </w:r>
    </w:p>
    <w:p>
      <w:pPr>
        <w:pStyle w:val="Heading1"/>
        <w:spacing w:after="120" w:before="260"/>
      </w:pPr>
      <w:r>
        <w:rPr>
          <w:rFonts w:ascii="Calibri" w:cs="Calibri" w:eastAsia="Calibri" w:hAnsi="Calibri"/>
          <w:b/>
          <w:bCs/>
          <w:color w:val="1F3864"/>
          <w:sz w:val="26"/>
          <w:szCs w:val="26"/>
        </w:rPr>
        <w:t xml:space="preserve">16. Welding coordination — cadence and records</w:t>
      </w:r>
    </w:p>
    <w:p>
      <w:pPr>
        <w:spacing w:after="120" w:line="264"/>
      </w:pPr>
      <w:r>
        <w:rPr>
          <w:rFonts w:ascii="Calibri" w:cs="Calibri" w:eastAsia="Calibri" w:hAnsi="Calibri"/>
          <w:sz w:val="20"/>
          <w:szCs w:val="20"/>
        </w:rPr>
        <w:t xml:space="preserve">The requirements set out in this manual are only met if welding coordination is exercised continuously rather than at audit. The following cadence is the minimum, and each occurrence is recorded in the welding activity log with the date, the person and the decision or finding.</w:t>
      </w:r>
    </w:p>
    <w:p>
      <w:pPr>
        <w:pStyle w:val="Heading2"/>
        <w:spacing w:after="80" w:before="200"/>
      </w:pPr>
      <w:r>
        <w:rPr>
          <w:rFonts w:ascii="Calibri" w:cs="Calibri" w:eastAsia="Calibri" w:hAnsi="Calibri"/>
          <w:b/>
          <w:bCs/>
          <w:color w:val="2E5C8A"/>
          <w:sz w:val="22"/>
          <w:szCs w:val="22"/>
        </w:rPr>
        <w:t xml:space="preserve">Per job</w:t>
      </w:r>
    </w:p>
    <w:p>
      <w:pPr>
        <w:pStyle w:val="ListParagraph"/>
        <w:numPr>
          <w:ilvl w:val="0"/>
          <w:numId w:val="1"/>
        </w:numPr>
        <w:spacing w:after="40" w:line="264"/>
      </w:pPr>
      <w:r>
        <w:rPr>
          <w:rFonts w:ascii="Calibri" w:cs="Calibri" w:eastAsia="Calibri" w:hAnsi="Calibri"/>
          <w:sz w:val="20"/>
          <w:szCs w:val="20"/>
        </w:rPr>
        <w:t xml:space="preserve">Technical review completed and recorded before the job card is released to the workshop (Section 4).</w:t>
      </w:r>
    </w:p>
    <w:p>
      <w:pPr>
        <w:pStyle w:val="ListParagraph"/>
        <w:numPr>
          <w:ilvl w:val="0"/>
          <w:numId w:val="1"/>
        </w:numPr>
        <w:spacing w:after="40" w:line="264"/>
      </w:pPr>
      <w:r>
        <w:rPr>
          <w:rFonts w:ascii="Calibri" w:cs="Calibri" w:eastAsia="Calibri" w:hAnsi="Calibri"/>
          <w:sz w:val="20"/>
          <w:szCs w:val="20"/>
        </w:rPr>
        <w:t xml:space="preserve">Welder allocation checked against current qualification, including continuity confirmation status, before welding starts; where the internal Welding Coordinator is allocated to weld, an independent inspector is identified at the same time (Section 7).</w:t>
      </w:r>
    </w:p>
    <w:p>
      <w:pPr>
        <w:pStyle w:val="ListParagraph"/>
        <w:numPr>
          <w:ilvl w:val="0"/>
          <w:numId w:val="1"/>
        </w:numPr>
        <w:spacing w:after="40" w:line="264"/>
      </w:pPr>
      <w:r>
        <w:rPr>
          <w:rFonts w:ascii="Calibri" w:cs="Calibri" w:eastAsia="Calibri" w:hAnsi="Calibri"/>
          <w:sz w:val="20"/>
          <w:szCs w:val="20"/>
        </w:rPr>
        <w:t xml:space="preserve">Any material, filler or joint configuration outside the scope in Section 1 referred to the RWC before work proceeds.</w:t>
      </w:r>
    </w:p>
    <w:p>
      <w:pPr>
        <w:pStyle w:val="Heading2"/>
        <w:spacing w:after="80" w:before="200"/>
      </w:pPr>
      <w:r>
        <w:rPr>
          <w:rFonts w:ascii="Calibri" w:cs="Calibri" w:eastAsia="Calibri" w:hAnsi="Calibri"/>
          <w:b/>
          <w:bCs/>
          <w:color w:val="2E5C8A"/>
          <w:sz w:val="22"/>
          <w:szCs w:val="22"/>
        </w:rPr>
        <w:t xml:space="preserve">Monthly</w:t>
      </w:r>
    </w:p>
    <w:p>
      <w:pPr>
        <w:pStyle w:val="ListParagraph"/>
        <w:numPr>
          <w:ilvl w:val="0"/>
          <w:numId w:val="1"/>
        </w:numPr>
        <w:spacing w:after="40" w:line="264"/>
      </w:pPr>
      <w:r>
        <w:rPr>
          <w:rFonts w:ascii="Calibri" w:cs="Calibri" w:eastAsia="Calibri" w:hAnsi="Calibri"/>
          <w:sz w:val="20"/>
          <w:szCs w:val="20"/>
        </w:rPr>
        <w:t xml:space="preserve">Welding Coordinator (internal) reviews the Welding Qualification Register for confirmations falling due and notifies the RWC (Section 6).</w:t>
      </w:r>
    </w:p>
    <w:p>
      <w:pPr>
        <w:pStyle w:val="ListParagraph"/>
        <w:numPr>
          <w:ilvl w:val="0"/>
          <w:numId w:val="1"/>
        </w:numPr>
        <w:spacing w:after="40" w:line="264"/>
      </w:pPr>
      <w:r>
        <w:rPr>
          <w:rFonts w:ascii="Calibri" w:cs="Calibri" w:eastAsia="Calibri" w:hAnsi="Calibri"/>
          <w:sz w:val="20"/>
          <w:szCs w:val="20"/>
        </w:rPr>
        <w:t xml:space="preserve">RWC signs confirmations due and records the signing.</w:t>
      </w:r>
    </w:p>
    <w:p>
      <w:pPr>
        <w:pStyle w:val="ListParagraph"/>
        <w:numPr>
          <w:ilvl w:val="0"/>
          <w:numId w:val="1"/>
        </w:numPr>
        <w:spacing w:after="40" w:line="264"/>
      </w:pPr>
      <w:r>
        <w:rPr>
          <w:rFonts w:ascii="Calibri" w:cs="Calibri" w:eastAsia="Calibri" w:hAnsi="Calibri"/>
          <w:sz w:val="20"/>
          <w:szCs w:val="20"/>
        </w:rPr>
        <w:t xml:space="preserve">Welding activity log reviewed for open items.</w:t>
      </w:r>
    </w:p>
    <w:p>
      <w:pPr>
        <w:pStyle w:val="Heading2"/>
        <w:spacing w:after="80" w:before="200"/>
      </w:pPr>
      <w:r>
        <w:rPr>
          <w:rFonts w:ascii="Calibri" w:cs="Calibri" w:eastAsia="Calibri" w:hAnsi="Calibri"/>
          <w:b/>
          <w:bCs/>
          <w:color w:val="2E5C8A"/>
          <w:sz w:val="22"/>
          <w:szCs w:val="22"/>
        </w:rPr>
        <w:t xml:space="preserve">Quarterly</w:t>
      </w:r>
    </w:p>
    <w:p>
      <w:pPr>
        <w:pStyle w:val="ListParagraph"/>
        <w:numPr>
          <w:ilvl w:val="0"/>
          <w:numId w:val="1"/>
        </w:numPr>
        <w:spacing w:after="40" w:line="264"/>
      </w:pPr>
      <w:r>
        <w:rPr>
          <w:rFonts w:ascii="Calibri" w:cs="Calibri" w:eastAsia="Calibri" w:hAnsi="Calibri"/>
          <w:sz w:val="20"/>
          <w:szCs w:val="20"/>
        </w:rPr>
        <w:t xml:space="preserve">RWC reviews WPS and WPQR validity, and the coverage of qualified welders against the WPS in production use, including single-welder exposure.</w:t>
      </w:r>
    </w:p>
    <w:p>
      <w:pPr>
        <w:pStyle w:val="ListParagraph"/>
        <w:numPr>
          <w:ilvl w:val="0"/>
          <w:numId w:val="1"/>
        </w:numPr>
        <w:spacing w:after="40" w:line="264"/>
      </w:pPr>
      <w:r>
        <w:rPr>
          <w:rFonts w:ascii="Calibri" w:cs="Calibri" w:eastAsia="Calibri" w:hAnsi="Calibri"/>
          <w:sz w:val="20"/>
          <w:szCs w:val="20"/>
        </w:rPr>
        <w:t xml:space="preserve">NDT and inspection personnel certification currency verified, including sub-contract personnel.</w:t>
      </w:r>
    </w:p>
    <w:p>
      <w:pPr>
        <w:pStyle w:val="ListParagraph"/>
        <w:numPr>
          <w:ilvl w:val="0"/>
          <w:numId w:val="1"/>
        </w:numPr>
        <w:spacing w:after="40" w:line="264"/>
      </w:pPr>
      <w:r>
        <w:rPr>
          <w:rFonts w:ascii="Calibri" w:cs="Calibri" w:eastAsia="Calibri" w:hAnsi="Calibri"/>
          <w:sz w:val="20"/>
          <w:szCs w:val="20"/>
        </w:rPr>
        <w:t xml:space="preserve">Welding non-conformance trends reviewed and reported to the General Manager.</w:t>
      </w:r>
    </w:p>
    <w:p>
      <w:pPr>
        <w:pStyle w:val="Heading2"/>
        <w:spacing w:after="80" w:before="200"/>
      </w:pPr>
      <w:r>
        <w:rPr>
          <w:rFonts w:ascii="Calibri" w:cs="Calibri" w:eastAsia="Calibri" w:hAnsi="Calibri"/>
          <w:b/>
          <w:bCs/>
          <w:color w:val="2E5C8A"/>
          <w:sz w:val="22"/>
          <w:szCs w:val="22"/>
        </w:rPr>
        <w:t xml:space="preserve">Annually</w:t>
      </w:r>
    </w:p>
    <w:p>
      <w:pPr>
        <w:pStyle w:val="ListParagraph"/>
        <w:numPr>
          <w:ilvl w:val="0"/>
          <w:numId w:val="1"/>
        </w:numPr>
        <w:spacing w:after="40" w:line="264"/>
      </w:pPr>
      <w:r>
        <w:rPr>
          <w:rFonts w:ascii="Calibri" w:cs="Calibri" w:eastAsia="Calibri" w:hAnsi="Calibri"/>
          <w:sz w:val="20"/>
          <w:szCs w:val="20"/>
        </w:rPr>
        <w:t xml:space="preserve">Internal audit of the welding management system against this manual (QP02).</w:t>
      </w:r>
    </w:p>
    <w:p>
      <w:pPr>
        <w:pStyle w:val="ListParagraph"/>
        <w:numPr>
          <w:ilvl w:val="0"/>
          <w:numId w:val="1"/>
        </w:numPr>
        <w:spacing w:after="40" w:line="264"/>
      </w:pPr>
      <w:r>
        <w:rPr>
          <w:rFonts w:ascii="Calibri" w:cs="Calibri" w:eastAsia="Calibri" w:hAnsi="Calibri"/>
          <w:sz w:val="20"/>
          <w:szCs w:val="20"/>
        </w:rPr>
        <w:t xml:space="preserve">Welding performance reported into management review, including qualification status, non-conformances and repair rates.</w:t>
      </w:r>
    </w:p>
    <w:p>
      <w:pPr>
        <w:pStyle w:val="ListParagraph"/>
        <w:numPr>
          <w:ilvl w:val="0"/>
          <w:numId w:val="1"/>
        </w:numPr>
        <w:spacing w:after="40" w:line="264"/>
      </w:pPr>
      <w:r>
        <w:rPr>
          <w:rFonts w:ascii="Calibri" w:cs="Calibri" w:eastAsia="Calibri" w:hAnsi="Calibri"/>
          <w:sz w:val="20"/>
          <w:szCs w:val="20"/>
        </w:rPr>
        <w:t xml:space="preserve">Controlled standards register checked for revisions to the standards in Section 1, and the impact assessed.</w:t>
      </w:r>
    </w:p>
    <w:p>
      <w:pPr>
        <w:pStyle w:val="ListParagraph"/>
        <w:numPr>
          <w:ilvl w:val="0"/>
          <w:numId w:val="1"/>
        </w:numPr>
        <w:spacing w:after="40" w:line="264"/>
      </w:pPr>
      <w:r>
        <w:rPr>
          <w:rFonts w:ascii="Calibri" w:cs="Calibri" w:eastAsia="Calibri" w:hAnsi="Calibri"/>
          <w:sz w:val="20"/>
          <w:szCs w:val="20"/>
        </w:rPr>
        <w:t xml:space="preserve">This manual reviewed and re-issued or endorsed as current by the RWC.</w:t>
      </w:r>
    </w:p>
    <w:p>
      <w:pPr>
        <w:pStyle w:val="Heading2"/>
        <w:spacing w:after="80" w:before="200"/>
      </w:pPr>
      <w:r>
        <w:rPr>
          <w:rFonts w:ascii="Calibri" w:cs="Calibri" w:eastAsia="Calibri" w:hAnsi="Calibri"/>
          <w:b/>
          <w:bCs/>
          <w:color w:val="2E5C8A"/>
          <w:sz w:val="22"/>
          <w:szCs w:val="22"/>
        </w:rPr>
        <w:t xml:space="preserve">Records of coordination</w:t>
      </w:r>
    </w:p>
    <w:p>
      <w:pPr>
        <w:spacing w:after="120" w:line="264"/>
      </w:pPr>
      <w:r>
        <w:rPr>
          <w:rFonts w:ascii="Calibri" w:cs="Calibri" w:eastAsia="Calibri" w:hAnsi="Calibri"/>
          <w:sz w:val="20"/>
          <w:szCs w:val="20"/>
        </w:rPr>
        <w:t xml:space="preserve">The welding activity log is the record that welding coordination has actually been exercised. It is maintained continuously and is not reconstructed retrospectively. A period with no entries is treated as a non-conformance against this manual and raised through QP03.</w:t>
      </w:r>
    </w:p>
    <w:p>
      <w:pPr>
        <w:pStyle w:val="Heading1"/>
        <w:spacing w:after="120" w:before="260"/>
      </w:pPr>
      <w:r>
        <w:rPr>
          <w:rFonts w:ascii="Calibri" w:cs="Calibri" w:eastAsia="Calibri" w:hAnsi="Calibri"/>
          <w:b/>
          <w:bCs/>
          <w:color w:val="1F3864"/>
          <w:sz w:val="26"/>
          <w:szCs w:val="26"/>
        </w:rPr>
        <w:t xml:space="preserve">Annex A — Welding coordination responsibilities (EN ISO 14731)</w:t>
      </w:r>
    </w:p>
    <w:p>
      <w:pPr>
        <w:spacing w:after="120" w:line="276"/>
      </w:pPr>
      <w:r>
        <w:rPr>
          <w:rFonts w:ascii="Calibri" w:cs="Calibri" w:eastAsia="Calibri" w:hAnsi="Calibri"/>
          <w:sz w:val="20"/>
          <w:szCs w:val="20"/>
        </w:rPr>
        <w:t xml:space="preserve">Allocation of the essential welding-related tasks. This allocation is CRGI’s proposal and is to be confirmed and signed by the Responsible Welding Coordinator on appointment. [TBC] Health, safety and environmental duties (B.20) are IDM’s statutory responsibility and are not delegated to an external coordinator; the RWC supports on welding-specific matters only. Tasks B.12, B.13 and B.14 are subject to the independence rule in Section 7 where the internal Welding Coordinator is also the welder who made the weld.</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5400"/>
        <w:gridCol w:w="1400"/>
        <w:gridCol w:w="1400"/>
        <w:gridCol w:w="1400"/>
      </w:tblGrid>
      <w:tr>
        <w:trPr>
          <w:tblHeader/>
        </w:trPr>
        <w:tc>
          <w:tcPr>
            <w:tcW w:type="dxa" w:w="5400"/>
            <w:shd w:fill="1F3864"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Essential welding task (BS EN ISO 14731)</w:t>
            </w:r>
          </w:p>
        </w:tc>
        <w:tc>
          <w:tcPr>
            <w:tcW w:type="dxa" w:w="1400"/>
            <w:shd w:fill="1F3864"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RWC</w:t>
            </w:r>
          </w:p>
        </w:tc>
        <w:tc>
          <w:tcPr>
            <w:tcW w:type="dxa" w:w="1400"/>
            <w:shd w:fill="1F3864"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Welding Coordinator (internal)</w:t>
            </w:r>
          </w:p>
        </w:tc>
        <w:tc>
          <w:tcPr>
            <w:tcW w:type="dxa" w:w="1400"/>
            <w:shd w:fill="1F3864"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General Manager</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B.1 Review of requirements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B.2 Technical review</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B.3 Sub-contracting (welding, NDT, heat treatment)</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B.4 Welding personnel — qualification and continuity</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B.5 Equipment — suitability, maintenance, validation</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B.6 Production planning</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B.7 Qualification of welding procedures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 / P</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B.8 Welding procedure specifications</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 / 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B.9 Work instructions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B.10 Welding consumables</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B.11 Materials — purchasing, storage, traceability</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B.12 Inspection and testing before welding</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B.13 Inspection and testing during welding</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B.14 Inspection and testing after welding</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B.15 Post-weld heat treatment</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B.16 Non-conformance and corrective action</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B.17 Calibration and validation of equipment</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B.18 Identification and traceability</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r>
      <w:tr>
        <w:tc>
          <w:tcPr>
            <w:tcW w:type="dxa" w:w="5400"/>
            <w:shd w:fill="EEF3FA" w:val="clear"/>
            <w:tcMar>
              <w:top w:type="dxa" w:w="40"/>
              <w:left w:type="dxa" w:w="80"/>
              <w:bottom w:type="dxa" w:w="40"/>
              <w:right w:type="dxa" w:w="80"/>
            </w:tcMar>
          </w:tcPr>
          <w:p>
            <w:pPr/>
            <w:r>
              <w:rPr>
                <w:rFonts w:ascii="Calibri" w:cs="Calibri" w:eastAsia="Calibri" w:hAnsi="Calibri"/>
                <w:sz w:val="18"/>
                <w:szCs w:val="18"/>
              </w:rPr>
              <w:t xml:space="preserve">B.19 Quality records</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A</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shd w:fill="EEF3FA" w:val="clear"/>
            <w:tcMar>
              <w:top w:type="dxa" w:w="40"/>
              <w:left w:type="dxa" w:w="80"/>
              <w:bottom w:type="dxa" w:w="40"/>
              <w:right w:type="dxa" w:w="80"/>
            </w:tcMar>
          </w:tcPr>
          <w:p>
            <w:pPr>
              <w:jc w:val="center"/>
            </w:pPr>
            <w:r>
              <w:rPr>
                <w:rFonts w:ascii="Calibri" w:cs="Calibri" w:eastAsia="Calibri" w:hAnsi="Calibri"/>
                <w:sz w:val="18"/>
                <w:szCs w:val="18"/>
              </w:rPr>
              <w:t xml:space="preserve">S</w:t>
            </w:r>
          </w:p>
        </w:tc>
      </w:tr>
      <w:tr>
        <w:tc>
          <w:tcPr>
            <w:tcW w:type="dxa" w:w="5400"/>
            <w:tcMar>
              <w:top w:type="dxa" w:w="40"/>
              <w:left w:type="dxa" w:w="80"/>
              <w:bottom w:type="dxa" w:w="40"/>
              <w:right w:type="dxa" w:w="80"/>
            </w:tcMar>
          </w:tcPr>
          <w:p>
            <w:pPr/>
            <w:r>
              <w:rPr>
                <w:rFonts w:ascii="Calibri" w:cs="Calibri" w:eastAsia="Calibri" w:hAnsi="Calibri"/>
                <w:sz w:val="18"/>
                <w:szCs w:val="18"/>
              </w:rPr>
              <w:t xml:space="preserve">B.20 Health, safety and environment</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S</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P</w:t>
            </w:r>
          </w:p>
        </w:tc>
        <w:tc>
          <w:tcPr>
            <w:tcW w:type="dxa" w:w="1400"/>
            <w:tcMar>
              <w:top w:type="dxa" w:w="40"/>
              <w:left w:type="dxa" w:w="80"/>
              <w:bottom w:type="dxa" w:w="40"/>
              <w:right w:type="dxa" w:w="80"/>
            </w:tcMar>
          </w:tcPr>
          <w:p>
            <w:pPr>
              <w:jc w:val="center"/>
            </w:pPr>
            <w:r>
              <w:rPr>
                <w:rFonts w:ascii="Calibri" w:cs="Calibri" w:eastAsia="Calibri" w:hAnsi="Calibri"/>
                <w:sz w:val="18"/>
                <w:szCs w:val="18"/>
              </w:rPr>
              <w:t xml:space="preserve">A</w:t>
            </w:r>
          </w:p>
        </w:tc>
      </w:tr>
    </w:tbl>
    <w:p>
      <w:pPr>
        <w:spacing w:before="60"/>
      </w:pPr>
      <w:r>
        <w:rPr>
          <w:rFonts w:ascii="Calibri" w:cs="Calibri" w:eastAsia="Calibri" w:hAnsi="Calibri"/>
          <w:i/>
          <w:iCs/>
          <w:color w:val="595959"/>
          <w:sz w:val="18"/>
          <w:szCs w:val="18"/>
        </w:rPr>
        <w:t xml:space="preserve">A = approves and authorises; the decision rests here and the task is not complete without this signature. P = performs the task day to day. S = supports and provides input. — = no allocation. A single task may carry both A and P where the RWC both performs and authorises it.</w:t>
      </w:r>
    </w:p>
    <w:p>
      <w:pPr>
        <w:pStyle w:val="Heading1"/>
        <w:spacing w:after="120" w:before="260"/>
      </w:pPr>
      <w:r>
        <w:rPr>
          <w:rFonts w:ascii="Calibri" w:cs="Calibri" w:eastAsia="Calibri" w:hAnsi="Calibri"/>
          <w:b/>
          <w:bCs/>
          <w:color w:val="1F3864"/>
          <w:sz w:val="26"/>
          <w:szCs w:val="26"/>
        </w:rPr>
        <w:t xml:space="preserve">Annex B — Organisation</w:t>
      </w:r>
    </w:p>
    <w:p>
      <w:pPr>
        <w:spacing w:after="120" w:line="276"/>
      </w:pPr>
      <w:r>
        <w:rPr>
          <w:rFonts w:ascii="Calibri" w:cs="Calibri" w:eastAsia="Calibri" w:hAnsi="Calibri"/>
          <w:sz w:val="20"/>
          <w:szCs w:val="20"/>
        </w:rPr>
        <w:t xml:space="preserve">Welding coordination organogram to be inserted, showing the reporting line of the external RWC into IDM and the interface with the internal welding coordinator and General Manager. [Placeholder — confirm structure post-appointment.]</w:t>
      </w:r>
    </w:p>
    <w:p>
      <w:pPr>
        <w:pStyle w:val="Heading1"/>
        <w:spacing w:after="120" w:before="260"/>
      </w:pPr>
      <w:r>
        <w:rPr>
          <w:rFonts w:ascii="Calibri" w:cs="Calibri" w:eastAsia="Calibri" w:hAnsi="Calibri"/>
          <w:b/>
          <w:bCs/>
          <w:color w:val="1F3864"/>
          <w:sz w:val="26"/>
          <w:szCs w:val="26"/>
        </w:rPr>
        <w:t xml:space="preserve">Annex C — Supporting procedures and registers</w:t>
      </w:r>
    </w:p>
    <w:p>
      <w:pPr>
        <w:pStyle w:val="ListParagraph"/>
        <w:numPr>
          <w:ilvl w:val="0"/>
          <w:numId w:val="1"/>
        </w:numPr>
        <w:spacing w:after="40" w:line="264"/>
      </w:pPr>
      <w:r>
        <w:rPr>
          <w:rFonts w:ascii="Calibri" w:cs="Calibri" w:eastAsia="Calibri" w:hAnsi="Calibri"/>
          <w:sz w:val="20"/>
          <w:szCs w:val="20"/>
        </w:rPr>
        <w:t xml:space="preserve">FPC 01–06 — Factory production control procedures (material traceability, joint preparation, member identification, weld repair, dimensional tolerances, cutting of re-entrant corners).</w:t>
      </w:r>
    </w:p>
    <w:p>
      <w:pPr>
        <w:pStyle w:val="ListParagraph"/>
        <w:numPr>
          <w:ilvl w:val="0"/>
          <w:numId w:val="1"/>
        </w:numPr>
        <w:spacing w:after="40" w:line="264"/>
      </w:pPr>
      <w:r>
        <w:rPr>
          <w:rFonts w:ascii="Calibri" w:cs="Calibri" w:eastAsia="Calibri" w:hAnsi="Calibri"/>
          <w:sz w:val="20"/>
          <w:szCs w:val="20"/>
        </w:rPr>
        <w:t xml:space="preserve">WPS / WPQR / WQTC master register — live register of procedures, qualification records and welder codings.</w:t>
      </w:r>
    </w:p>
    <w:p>
      <w:pPr>
        <w:pStyle w:val="ListParagraph"/>
        <w:numPr>
          <w:ilvl w:val="0"/>
          <w:numId w:val="1"/>
        </w:numPr>
        <w:spacing w:after="40" w:line="264"/>
      </w:pPr>
      <w:r>
        <w:rPr>
          <w:rFonts w:ascii="Calibri" w:cs="Calibri" w:eastAsia="Calibri" w:hAnsi="Calibri"/>
          <w:sz w:val="20"/>
          <w:szCs w:val="20"/>
        </w:rPr>
        <w:t xml:space="preserve">Consumable certificate register and consumable issue in/out log.</w:t>
      </w:r>
    </w:p>
    <w:p>
      <w:pPr>
        <w:pStyle w:val="ListParagraph"/>
        <w:numPr>
          <w:ilvl w:val="0"/>
          <w:numId w:val="1"/>
        </w:numPr>
        <w:spacing w:after="40" w:line="264"/>
      </w:pPr>
      <w:r>
        <w:rPr>
          <w:rFonts w:ascii="Calibri" w:cs="Calibri" w:eastAsia="Calibri" w:hAnsi="Calibri"/>
          <w:sz w:val="20"/>
          <w:szCs w:val="20"/>
        </w:rPr>
        <w:t xml:space="preserve">Weld history sheet and weld surveillance sheet.</w:t>
      </w:r>
    </w:p>
    <w:p>
      <w:pPr>
        <w:pStyle w:val="ListParagraph"/>
        <w:numPr>
          <w:ilvl w:val="0"/>
          <w:numId w:val="1"/>
        </w:numPr>
        <w:spacing w:after="40" w:line="264"/>
      </w:pPr>
      <w:r>
        <w:rPr>
          <w:rFonts w:ascii="Calibri" w:cs="Calibri" w:eastAsia="Calibri" w:hAnsi="Calibri"/>
          <w:sz w:val="20"/>
          <w:szCs w:val="20"/>
        </w:rPr>
        <w:t xml:space="preserve">Calibration register and certificates (welding plant, measuring equipment).</w:t>
      </w:r>
    </w:p>
    <w:p>
      <w:pPr>
        <w:pStyle w:val="ListParagraph"/>
        <w:numPr>
          <w:ilvl w:val="0"/>
          <w:numId w:val="1"/>
        </w:numPr>
        <w:spacing w:after="40" w:line="264"/>
      </w:pPr>
      <w:r>
        <w:rPr>
          <w:rFonts w:ascii="Calibri" w:cs="Calibri" w:eastAsia="Calibri" w:hAnsi="Calibri"/>
          <w:sz w:val="20"/>
          <w:szCs w:val="20"/>
        </w:rPr>
        <w:t xml:space="preserve">Approved Suppliers List; technical review / contract review (design) sheet; EN 15085 intake and preliminary enquiry forms.</w:t>
      </w:r>
    </w:p>
    <w:p>
      <w:pPr>
        <w:pStyle w:val="ListParagraph"/>
        <w:numPr>
          <w:ilvl w:val="0"/>
          <w:numId w:val="1"/>
        </w:numPr>
        <w:spacing w:after="40" w:line="264"/>
      </w:pPr>
      <w:r>
        <w:rPr>
          <w:rFonts w:ascii="Calibri" w:cs="Calibri" w:eastAsia="Calibri" w:hAnsi="Calibri"/>
          <w:sz w:val="20"/>
          <w:szCs w:val="20"/>
        </w:rPr>
        <w:t xml:space="preserve">Welding activity log — the continuous record of coordination decisions (Section 16).</w:t>
      </w:r>
    </w:p>
    <w:p>
      <w:pPr>
        <w:pStyle w:val="ListParagraph"/>
        <w:numPr>
          <w:ilvl w:val="0"/>
          <w:numId w:val="1"/>
        </w:numPr>
        <w:spacing w:after="40" w:line="264"/>
      </w:pPr>
      <w:r>
        <w:rPr>
          <w:rFonts w:ascii="Calibri" w:cs="Calibri" w:eastAsia="Calibri" w:hAnsi="Calibri"/>
          <w:sz w:val="20"/>
          <w:szCs w:val="20"/>
        </w:rPr>
        <w:t xml:space="preserve">RWC appointment and delegation record, and RWC competence evidence.</w:t>
      </w:r>
    </w:p>
    <w:p>
      <w:pPr>
        <w:pStyle w:val="ListParagraph"/>
        <w:numPr>
          <w:ilvl w:val="0"/>
          <w:numId w:val="1"/>
        </w:numPr>
        <w:spacing w:after="40" w:line="264"/>
      </w:pPr>
      <w:r>
        <w:rPr>
          <w:rFonts w:ascii="Calibri" w:cs="Calibri" w:eastAsia="Calibri" w:hAnsi="Calibri"/>
          <w:sz w:val="20"/>
          <w:szCs w:val="20"/>
        </w:rPr>
        <w:t xml:space="preserve">Welding management system master document register — the controlled index of every document, register, form and record in this system.</w:t>
      </w:r>
    </w:p>
    <w:p>
      <w:pPr>
        <w:pStyle w:val="ListParagraph"/>
        <w:numPr>
          <w:ilvl w:val="0"/>
          <w:numId w:val="1"/>
        </w:numPr>
        <w:spacing w:after="40" w:line="264"/>
      </w:pPr>
      <w:r>
        <w:rPr>
          <w:rFonts w:ascii="Calibri" w:cs="Calibri" w:eastAsia="Calibri" w:hAnsi="Calibri"/>
          <w:sz w:val="20"/>
          <w:szCs w:val="20"/>
        </w:rPr>
        <w:t xml:space="preserve">Controlled standards register — standards held, revision, and location.</w:t>
      </w:r>
    </w:p>
    <w:p>
      <w:pPr>
        <w:pStyle w:val="ListParagraph"/>
        <w:numPr>
          <w:ilvl w:val="0"/>
          <w:numId w:val="1"/>
        </w:numPr>
        <w:spacing w:after="40" w:line="264"/>
      </w:pPr>
      <w:r>
        <w:rPr>
          <w:rFonts w:ascii="Calibri" w:cs="Calibri" w:eastAsia="Calibri" w:hAnsi="Calibri"/>
          <w:sz w:val="20"/>
          <w:szCs w:val="20"/>
        </w:rPr>
        <w:t xml:space="preserve">Customer-specific requirements register — including Alstom DTRF 150215 and the EG series.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IDM Engineering (Chester) Ltd — FPC &amp; Welding Quality Manual — Rev 4 DRAFT — not for issue — Page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95959"/>
        <w:sz w:val="16"/>
        <w:szCs w:val="16"/>
      </w:rPr>
      <w:t xml:space="preserve">IDM-FPC-WQM-001  Rev 4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2026-07-17T12:34:55.899Z</dcterms:created>
  <dcterms:modified xsi:type="dcterms:W3CDTF">2026-07-17T12:34:55.900Z</dcterms:modified>
</cp:coreProperties>
</file>

<file path=docProps/custom.xml><?xml version="1.0" encoding="utf-8"?>
<Properties xmlns="http://schemas.openxmlformats.org/officeDocument/2006/custom-properties" xmlns:vt="http://schemas.openxmlformats.org/officeDocument/2006/docPropsVTypes"/>
</file>