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600"/>
        <w:gridCol w:w="3000"/>
      </w:tblGrid>
      <w:tr>
        <w:trPr>
          <w:tblHeader w:val="false"/>
        </w:trPr>
        <w:tc>
          <w:tcPr>
            <w:tcW w:type="dxa" w:w="66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Scope of Certification Statement</w:t>
            </w:r>
          </w:p>
        </w:tc>
        <w:tc>
          <w:tcPr>
            <w:tcW w:type="dxa" w:w="30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WMS-A-02</w:t>
            </w:r>
          </w:p>
        </w:tc>
      </w:tr>
    </w:tbl>
    <w:p>
      <w:pPr>
        <w:spacing w:after="100" w:line="264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120" w:line="264"/>
      </w:pPr>
      <w:r>
        <w:rPr>
          <w:rFonts w:ascii="Calibri" w:cs="Calibri" w:eastAsia="Calibri" w:hAnsi="Calibri"/>
          <w:sz w:val="20"/>
          <w:szCs w:val="20"/>
        </w:rPr>
        <w:t xml:space="preserve">The scope for which IDM Engineering (Chester) Ltd seeks and holds certification. This statement governs what work may be accepted. Work outside it is referred to the RWC before quotation.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800"/>
      </w:tblGrid>
      <w:tr>
        <w:trPr>
          <w:tblHeader/>
        </w:trPr>
        <w:tc>
          <w:tcPr>
            <w:tcW w:type="dxa" w:w="28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Field</w:t>
            </w:r>
          </w:p>
        </w:tc>
        <w:tc>
          <w:tcPr>
            <w:tcW w:type="dxa" w:w="68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Scope</w:t>
            </w:r>
          </w:p>
        </w:tc>
      </w:tr>
      <w:tr>
        <w:trPr>
          <w:tblHeader w:val="false"/>
        </w:trPr>
        <w:tc>
          <w:tcPr>
            <w:tcW w:type="dxa" w:w="28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Legal entity</w:t>
            </w:r>
          </w:p>
        </w:tc>
        <w:tc>
          <w:tcPr>
            <w:tcW w:type="dxa" w:w="68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IDM Engineering (Chester) Ltd</w:t>
            </w:r>
          </w:p>
        </w:tc>
      </w:tr>
      <w:tr>
        <w:trPr>
          <w:tblHeader w:val="false"/>
        </w:trPr>
        <w:tc>
          <w:tcPr>
            <w:tcW w:type="dxa" w:w="28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Registered address</w:t>
            </w:r>
          </w:p>
        </w:tc>
        <w:tc>
          <w:tcPr>
            <w:tcW w:type="dxa" w:w="68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Unit 4 / Triton House, Indigo Business Park, Oil Sites Road, Ellesmere Port, CH65 4AJ</w:t>
            </w:r>
          </w:p>
        </w:tc>
      </w:tr>
      <w:tr>
        <w:trPr>
          <w:tblHeader w:val="false"/>
        </w:trPr>
        <w:tc>
          <w:tcPr>
            <w:tcW w:type="dxa" w:w="28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Certification body</w:t>
            </w:r>
          </w:p>
        </w:tc>
        <w:tc>
          <w:tcPr>
            <w:tcW w:type="dxa" w:w="68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TWI Certification — one body across all three standards</w:t>
            </w:r>
          </w:p>
        </w:tc>
      </w:tr>
      <w:tr>
        <w:trPr>
          <w:tblHeader w:val="false"/>
        </w:trPr>
        <w:tc>
          <w:tcPr>
            <w:tcW w:type="dxa" w:w="28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Standards</w:t>
            </w:r>
          </w:p>
        </w:tc>
        <w:tc>
          <w:tcPr>
            <w:tcW w:type="dxa" w:w="68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BS EN ISO 3834-2 · BS EN 1090-1 / -2 · BS EN 15085-2</w:t>
            </w:r>
          </w:p>
        </w:tc>
      </w:tr>
      <w:tr>
        <w:trPr>
          <w:tblHeader w:val="false"/>
        </w:trPr>
        <w:tc>
          <w:tcPr>
            <w:tcW w:type="dxa" w:w="28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Execution Class</w:t>
            </w:r>
          </w:p>
        </w:tc>
        <w:tc>
          <w:tcPr>
            <w:tcW w:type="dxa" w:w="68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EXC2 (see WMS-F-01)</w:t>
            </w:r>
          </w:p>
        </w:tc>
      </w:tr>
      <w:tr>
        <w:trPr>
          <w:tblHeader w:val="false"/>
        </w:trPr>
        <w:tc>
          <w:tcPr>
            <w:tcW w:type="dxa" w:w="28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Certification Level</w:t>
            </w:r>
          </w:p>
        </w:tc>
        <w:tc>
          <w:tcPr>
            <w:tcW w:type="dxa" w:w="68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CL2 across the rail product range (see WMS-G-01)</w:t>
            </w:r>
          </w:p>
        </w:tc>
      </w:tr>
      <w:tr>
        <w:trPr>
          <w:tblHeader w:val="false"/>
        </w:trPr>
        <w:tc>
          <w:tcPr>
            <w:tcW w:type="dxa" w:w="28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Welding processes</w:t>
            </w:r>
          </w:p>
        </w:tc>
        <w:tc>
          <w:tcPr>
            <w:tcW w:type="dxa" w:w="68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MAG 135 · TIG 141, as covered by the current WPS set</w:t>
            </w:r>
          </w:p>
        </w:tc>
      </w:tr>
      <w:tr>
        <w:trPr>
          <w:tblHeader w:val="false"/>
        </w:trPr>
        <w:tc>
          <w:tcPr>
            <w:tcW w:type="dxa" w:w="28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Parent materials</w:t>
            </w:r>
          </w:p>
        </w:tc>
        <w:tc>
          <w:tcPr>
            <w:tcW w:type="dxa" w:w="68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Carbon steel (primary); stainless steel 316/316L, 304/304L (secondary)</w:t>
            </w:r>
          </w:p>
        </w:tc>
      </w:tr>
      <w:tr>
        <w:trPr>
          <w:tblHeader w:val="false"/>
        </w:trPr>
        <w:tc>
          <w:tcPr>
            <w:tcW w:type="dxa" w:w="28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Materials excluded</w:t>
            </w:r>
          </w:p>
        </w:tc>
        <w:tc>
          <w:tcPr>
            <w:tcW w:type="dxa" w:w="68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color w:val="9C0006"/>
                <w:sz w:val="18"/>
                <w:szCs w:val="18"/>
              </w:rPr>
              <w:t xml:space="preserve">Aluminium — deferred. Cast iron and dissimilar steel-to-cast-iron joints — outside scope pending RWC resolution.</w:t>
            </w:r>
          </w:p>
        </w:tc>
      </w:tr>
      <w:tr>
        <w:trPr>
          <w:tblHeader w:val="false"/>
        </w:trPr>
        <w:tc>
          <w:tcPr>
            <w:tcW w:type="dxa" w:w="28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Products</w:t>
            </w:r>
          </w:p>
        </w:tc>
        <w:tc>
          <w:tcPr>
            <w:tcW w:type="dxa" w:w="68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color w:val="9C0006"/>
                <w:sz w:val="18"/>
                <w:szCs w:val="18"/>
              </w:rPr>
              <w:t xml:space="preserve">[to complete — product range placed on the market and rail components supplied]</w:t>
            </w:r>
          </w:p>
        </w:tc>
      </w:tr>
      <w:tr>
        <w:trPr>
          <w:tblHeader w:val="false"/>
        </w:trPr>
        <w:tc>
          <w:tcPr>
            <w:tcW w:type="dxa" w:w="28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Market for 1090 products</w:t>
            </w:r>
          </w:p>
        </w:tc>
        <w:tc>
          <w:tcPr>
            <w:tcW w:type="dxa" w:w="68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color w:val="9C0006"/>
                <w:sz w:val="18"/>
                <w:szCs w:val="18"/>
              </w:rPr>
              <w:t xml:space="preserve">[TBC — GB / EU / NI determines UKCA, CE or CE UKNI marking]</w:t>
            </w:r>
          </w:p>
        </w:tc>
      </w:tr>
      <w:tr>
        <w:trPr>
          <w:tblHeader w:val="false"/>
        </w:trPr>
        <w:tc>
          <w:tcPr>
            <w:tcW w:type="dxa" w:w="28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Welding locations</w:t>
            </w:r>
          </w:p>
        </w:tc>
        <w:tc>
          <w:tcPr>
            <w:tcW w:type="dxa" w:w="68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color w:val="9C0006"/>
                <w:sz w:val="18"/>
                <w:szCs w:val="18"/>
              </w:rPr>
              <w:t xml:space="preserve">[to complete — workshop only, or workshop and site]</w:t>
            </w:r>
          </w:p>
        </w:tc>
      </w:tr>
      <w:tr>
        <w:trPr>
          <w:tblHeader w:val="false"/>
        </w:trPr>
        <w:tc>
          <w:tcPr>
            <w:tcW w:type="dxa" w:w="28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Sub-contracted processes</w:t>
            </w:r>
          </w:p>
        </w:tc>
        <w:tc>
          <w:tcPr>
            <w:tcW w:type="dxa" w:w="68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NDT (Axis NDT); profiling; painting / shot-blasting; calibration. Heat treatment if in scope.</w:t>
            </w:r>
          </w:p>
        </w:tc>
      </w:tr>
    </w:tbl>
    <w:p>
      <w:pPr>
        <w:spacing w:after="100" w:line="264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120" w:line="264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Any enquiry falling outside this scope — material, process, class or location — is referred to the RWC at contract review and is not quoted until the RWC has confirmed the route.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3000"/>
        <w:gridCol w:w="2200"/>
        <w:gridCol w:w="1800"/>
      </w:tblGrid>
      <w:tr>
        <w:trPr>
          <w:tblHeader/>
        </w:trPr>
        <w:tc>
          <w:tcPr>
            <w:tcW w:type="dxa" w:w="26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Role</w:t>
            </w:r>
          </w:p>
        </w:tc>
        <w:tc>
          <w:tcPr>
            <w:tcW w:type="dxa" w:w="30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Name</w:t>
            </w:r>
          </w:p>
        </w:tc>
        <w:tc>
          <w:tcPr>
            <w:tcW w:type="dxa" w:w="22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Signature</w:t>
            </w:r>
          </w:p>
        </w:tc>
        <w:tc>
          <w:tcPr>
            <w:tcW w:type="dxa" w:w="18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</w:tr>
      <w:tr>
        <w:trPr>
          <w:tblHeader w:val="false"/>
        </w:trPr>
        <w:tc>
          <w:tcPr>
            <w:tcW w:type="dxa" w:w="2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Prepared by (CRGI)</w:t>
            </w:r>
          </w:p>
        </w:tc>
        <w:tc>
          <w:tcPr>
            <w:tcW w:type="dxa" w:w="30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RWC — approved</w:t>
            </w:r>
          </w:p>
        </w:tc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2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Managing Director — approved</w:t>
            </w:r>
          </w:p>
        </w:tc>
        <w:tc>
          <w:tcPr>
            <w:tcW w:type="dxa" w:w="30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00" w:right="1100" w:bottom="11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808080"/>
        <w:sz w:val="16"/>
        <w:szCs w:val="16"/>
      </w:rPr>
      <w:t xml:space="preserve">IDM Engineering (Chester) Ltd — Scope of Certification Statement — WMS-A-02 Rev 0 DRAFT — Page </w:t>
    </w:r>
    <w:r>
      <w:rPr>
        <w:rFonts w:ascii="Calibri" w:cs="Calibri" w:eastAsia="Calibri" w:hAnsi="Calibri"/>
        <w:color w:val="8080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808080"/>
        <w:sz w:val="16"/>
        <w:szCs w:val="16"/>
      </w:rPr>
      <w:t xml:space="preserve">WMS-A-02  Rev 0 (DRAFT)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2026-08-21T10:14:41.504Z</dcterms:created>
  <dcterms:modified xsi:type="dcterms:W3CDTF">2026-08-21T10:14:41.517Z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