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6600"/>
        <w:gridCol w:w="3000"/>
      </w:tblGrid>
      <w:tr>
        <w:trPr>
          <w:tblHeader w:val="false"/>
        </w:trPr>
        <w:tc>
          <w:tcPr>
            <w:tcW w:type="dxa" w:w="6600"/>
            <w:shd w:fill="1F3864" w:color="auto" w:val="clear"/>
            <w:tcMar>
              <w:top w:type="dxa" w:w="60"/>
              <w:left w:type="dxa" w:w="90"/>
              <w:bottom w:type="dxa" w:w="60"/>
              <w:right w:type="dxa" w:w="90"/>
            </w:tcMar>
            <w:vAlign w:val="center"/>
          </w:tcPr>
          <w:p>
            <w:pPr>
              <w:spacing w:after="0" w:line="240"/>
            </w:pPr>
            <w:r>
              <w:rPr>
                <w:rFonts w:ascii="Calibri" w:cs="Calibri" w:eastAsia="Calibri" w:hAnsi="Calibri"/>
                <w:b/>
                <w:bCs/>
                <w:color w:val="FFFFFF"/>
                <w:sz w:val="22"/>
                <w:szCs w:val="22"/>
              </w:rPr>
              <w:t xml:space="preserve">Welding Organisation &amp; Responsibility Allocation</w:t>
            </w:r>
          </w:p>
        </w:tc>
        <w:tc>
          <w:tcPr>
            <w:tcW w:type="dxa" w:w="30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20"/>
                <w:szCs w:val="20"/>
              </w:rPr>
              <w:t xml:space="preserve">WMS-A-03/04</w:t>
            </w:r>
          </w:p>
        </w:tc>
      </w:tr>
    </w:tbl>
    <w:p>
      <w:pPr>
        <w:spacing w:after="100" w:line="264"/>
      </w:pPr>
      <w:r>
        <w:rPr>
          <w:rFonts w:ascii="Calibri" w:cs="Calibri" w:eastAsia="Calibri" w:hAnsi="Calibri"/>
          <w:sz w:val="20"/>
          <w:szCs w:val="20"/>
        </w:rPr>
        <w:t xml:space="preserve"/>
      </w:r>
    </w:p>
    <w:p>
      <w:pPr>
        <w:spacing w:after="120" w:line="264"/>
      </w:pPr>
      <w:r>
        <w:rPr>
          <w:rFonts w:ascii="Calibri" w:cs="Calibri" w:eastAsia="Calibri" w:hAnsi="Calibri"/>
          <w:sz w:val="20"/>
          <w:szCs w:val="20"/>
        </w:rPr>
        <w:t xml:space="preserve">Derived from IDM company structure IDM31 Rev 9 (27/07/2026). Shows only the welding-related positions and how welding coordination reports into IDM.</w:t>
      </w:r>
    </w:p>
    <w:p>
      <w:pPr>
        <w:pStyle w:val="Heading2"/>
        <w:spacing w:after="80" w:before="200"/>
      </w:pPr>
      <w:r>
        <w:rPr>
          <w:rFonts w:ascii="Calibri" w:cs="Calibri" w:eastAsia="Calibri" w:hAnsi="Calibri"/>
          <w:b/>
          <w:bCs/>
          <w:color w:val="2E5C8A"/>
          <w:sz w:val="22"/>
          <w:szCs w:val="22"/>
        </w:rPr>
        <w:t xml:space="preserve">Welding organisation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2900"/>
        <w:gridCol w:w="4100"/>
      </w:tblGrid>
      <w:tr>
        <w:trPr>
          <w:tblHeader/>
        </w:trPr>
        <w:tc>
          <w:tcPr>
            <w:tcW w:type="dxa" w:w="26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Name</w:t>
            </w:r>
          </w:p>
        </w:tc>
        <w:tc>
          <w:tcPr>
            <w:tcW w:type="dxa" w:w="29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Position</w:t>
            </w:r>
          </w:p>
        </w:tc>
        <w:tc>
          <w:tcPr>
            <w:tcW w:type="dxa" w:w="41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Welding role</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Ben Smith</w:t>
            </w:r>
          </w:p>
        </w:tc>
        <w:tc>
          <w:tcPr>
            <w:tcW w:type="dxa" w:w="2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Managing Director</w:t>
            </w:r>
          </w:p>
        </w:tc>
        <w:tc>
          <w:tcPr>
            <w:tcW w:type="dxa" w:w="41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Approves the scope of certification; owns the RWC contract</w:t>
            </w:r>
          </w:p>
        </w:tc>
      </w:tr>
      <w:tr>
        <w:trPr>
          <w:tblHeader w:val="false"/>
        </w:trPr>
        <w:tc>
          <w:tcPr>
            <w:tcW w:type="dxa" w:w="26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Matthew Allt</w:t>
            </w:r>
          </w:p>
        </w:tc>
        <w:tc>
          <w:tcPr>
            <w:tcW w:type="dxa" w:w="2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General Manager</w:t>
            </w:r>
          </w:p>
        </w:tc>
        <w:tc>
          <w:tcPr>
            <w:tcW w:type="dxa" w:w="41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Holds tasks marked A or P against General Manager in Annex A</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Peter Skillen</w:t>
            </w:r>
          </w:p>
        </w:tc>
        <w:tc>
          <w:tcPr>
            <w:tcW w:type="dxa" w:w="2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Axis NDT — external</w:t>
            </w:r>
          </w:p>
        </w:tc>
        <w:tc>
          <w:tcPr>
            <w:tcW w:type="dxa" w:w="41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Responsible Welding Coordinator (RWC)</w:t>
            </w:r>
          </w:p>
        </w:tc>
      </w:tr>
      <w:tr>
        <w:trPr>
          <w:tblHeader w:val="false"/>
        </w:trPr>
        <w:tc>
          <w:tcPr>
            <w:tcW w:type="dxa" w:w="2600"/>
            <w:tcMar>
              <w:top w:type="dxa" w:w="60"/>
              <w:left w:type="dxa" w:w="90"/>
              <w:bottom w:type="dxa" w:w="60"/>
              <w:right w:type="dxa" w:w="90"/>
            </w:tcMar>
            <w:vAlign w:val="center"/>
          </w:tcPr>
          <w:p>
            <w:pPr>
              <w:spacing w:after="0" w:line="240"/>
            </w:pPr>
            <w:r>
              <w:rPr>
                <w:rFonts w:ascii="Calibri" w:cs="Calibri" w:eastAsia="Calibri" w:hAnsi="Calibri"/>
                <w:b/>
                <w:bCs/>
                <w:color w:val="9C0006"/>
                <w:sz w:val="18"/>
                <w:szCs w:val="18"/>
              </w:rPr>
              <w:t xml:space="preserve">[TBC]</w:t>
            </w:r>
          </w:p>
        </w:tc>
        <w:tc>
          <w:tcPr>
            <w:tcW w:type="dxa" w:w="2900"/>
            <w:tcMar>
              <w:top w:type="dxa" w:w="60"/>
              <w:left w:type="dxa" w:w="90"/>
              <w:bottom w:type="dxa" w:w="60"/>
              <w:right w:type="dxa" w:w="90"/>
            </w:tcMar>
            <w:vAlign w:val="center"/>
          </w:tcPr>
          <w:p>
            <w:pPr>
              <w:spacing w:after="0" w:line="240"/>
            </w:pPr>
            <w:r>
              <w:rPr>
                <w:rFonts w:ascii="Calibri" w:cs="Calibri" w:eastAsia="Calibri" w:hAnsi="Calibri"/>
                <w:color w:val="9C0006"/>
                <w:sz w:val="18"/>
                <w:szCs w:val="18"/>
              </w:rPr>
              <w:t xml:space="preserve">[TBC]</w:t>
            </w:r>
          </w:p>
        </w:tc>
        <w:tc>
          <w:tcPr>
            <w:tcW w:type="dxa" w:w="4100"/>
            <w:tcMar>
              <w:top w:type="dxa" w:w="60"/>
              <w:left w:type="dxa" w:w="90"/>
              <w:bottom w:type="dxa" w:w="60"/>
              <w:right w:type="dxa" w:w="90"/>
            </w:tcMar>
            <w:vAlign w:val="center"/>
          </w:tcPr>
          <w:p>
            <w:pPr>
              <w:spacing w:after="0" w:line="240"/>
            </w:pPr>
            <w:r>
              <w:rPr>
                <w:rFonts w:ascii="Calibri" w:cs="Calibri" w:eastAsia="Calibri" w:hAnsi="Calibri"/>
                <w:color w:val="9C0006"/>
                <w:sz w:val="18"/>
                <w:szCs w:val="18"/>
              </w:rPr>
              <w:t xml:space="preserve">Deputy welding coordinator — not yet nominated</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color w:val="9C0006"/>
                <w:sz w:val="18"/>
                <w:szCs w:val="18"/>
              </w:rPr>
              <w:t xml:space="preserve">[TBC — CRGI recommends C. Moulton]</w:t>
            </w:r>
          </w:p>
        </w:tc>
        <w:tc>
          <w:tcPr>
            <w:tcW w:type="dxa" w:w="2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Fab Shop Foreman</w:t>
            </w:r>
          </w:p>
        </w:tc>
        <w:tc>
          <w:tcPr>
            <w:tcW w:type="dxa" w:w="4100"/>
            <w:shd w:fill="EEF3FA" w:color="auto" w:val="clear"/>
            <w:tcMar>
              <w:top w:type="dxa" w:w="60"/>
              <w:left w:type="dxa" w:w="90"/>
              <w:bottom w:type="dxa" w:w="60"/>
              <w:right w:type="dxa" w:w="90"/>
            </w:tcMar>
            <w:vAlign w:val="center"/>
          </w:tcPr>
          <w:p>
            <w:pPr>
              <w:spacing w:after="0" w:line="240"/>
            </w:pPr>
            <w:r>
              <w:rPr>
                <w:rFonts w:ascii="Calibri" w:cs="Calibri" w:eastAsia="Calibri" w:hAnsi="Calibri"/>
                <w:color w:val="9C0006"/>
                <w:sz w:val="18"/>
                <w:szCs w:val="18"/>
              </w:rPr>
              <w:t xml:space="preserve">Welding Coordinator (internal) — see notes</w:t>
            </w:r>
          </w:p>
        </w:tc>
      </w:tr>
      <w:tr>
        <w:trPr>
          <w:tblHeader w:val="false"/>
        </w:trPr>
        <w:tc>
          <w:tcPr>
            <w:tcW w:type="dxa" w:w="26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Dave Jones</w:t>
            </w:r>
          </w:p>
        </w:tc>
        <w:tc>
          <w:tcPr>
            <w:tcW w:type="dxa" w:w="2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Factory Foreman &amp; Production Planner</w:t>
            </w:r>
          </w:p>
        </w:tc>
        <w:tc>
          <w:tcPr>
            <w:tcW w:type="dxa" w:w="41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Production planning interface; job card issue</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Chay Moulton</w:t>
            </w:r>
          </w:p>
        </w:tc>
        <w:tc>
          <w:tcPr>
            <w:tcW w:type="dxa" w:w="2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Fab Shop Foreman</w:t>
            </w:r>
          </w:p>
        </w:tc>
        <w:tc>
          <w:tcPr>
            <w:tcW w:type="dxa" w:w="41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Welder — WPS-IDM-CS-01, CS-02, CS04-FW</w:t>
            </w:r>
          </w:p>
        </w:tc>
      </w:tr>
      <w:tr>
        <w:trPr>
          <w:tblHeader w:val="false"/>
        </w:trPr>
        <w:tc>
          <w:tcPr>
            <w:tcW w:type="dxa" w:w="26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Joe Gallagher</w:t>
            </w:r>
          </w:p>
        </w:tc>
        <w:tc>
          <w:tcPr>
            <w:tcW w:type="dxa" w:w="2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Fabricator / Welder</w:t>
            </w:r>
          </w:p>
        </w:tc>
        <w:tc>
          <w:tcPr>
            <w:tcW w:type="dxa" w:w="41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Welder — all six production WPS</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Oliver Rymer</w:t>
            </w:r>
          </w:p>
        </w:tc>
        <w:tc>
          <w:tcPr>
            <w:tcW w:type="dxa" w:w="2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Fabricator / Welder</w:t>
            </w:r>
          </w:p>
        </w:tc>
        <w:tc>
          <w:tcPr>
            <w:tcW w:type="dxa" w:w="4100"/>
            <w:shd w:fill="EEF3FA" w:color="auto" w:val="clear"/>
            <w:tcMar>
              <w:top w:type="dxa" w:w="60"/>
              <w:left w:type="dxa" w:w="90"/>
              <w:bottom w:type="dxa" w:w="60"/>
              <w:right w:type="dxa" w:w="90"/>
            </w:tcMar>
            <w:vAlign w:val="center"/>
          </w:tcPr>
          <w:p>
            <w:pPr>
              <w:spacing w:after="0" w:line="240"/>
            </w:pPr>
            <w:r>
              <w:rPr>
                <w:rFonts w:ascii="Calibri" w:cs="Calibri" w:eastAsia="Calibri" w:hAnsi="Calibri"/>
                <w:color w:val="9C0006"/>
                <w:sz w:val="18"/>
                <w:szCs w:val="18"/>
              </w:rPr>
              <w:t xml:space="preserve">No qualification record held — see notes</w:t>
            </w:r>
          </w:p>
        </w:tc>
      </w:tr>
      <w:tr>
        <w:trPr>
          <w:tblHeader w:val="false"/>
        </w:trPr>
        <w:tc>
          <w:tcPr>
            <w:tcW w:type="dxa" w:w="26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Niamh Collins-Hopkins</w:t>
            </w:r>
          </w:p>
        </w:tc>
        <w:tc>
          <w:tcPr>
            <w:tcW w:type="dxa" w:w="2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Fabrication Apprentice</w:t>
            </w:r>
          </w:p>
        </w:tc>
        <w:tc>
          <w:tcPr>
            <w:tcW w:type="dxa" w:w="41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Welder — CS-01, CS-02, CS04-FW, SS02-FW</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Sheila Langsworthy</w:t>
            </w:r>
          </w:p>
        </w:tc>
        <w:tc>
          <w:tcPr>
            <w:tcW w:type="dxa" w:w="2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Engineering Support &amp; HR</w:t>
            </w:r>
          </w:p>
        </w:tc>
        <w:tc>
          <w:tcPr>
            <w:tcW w:type="dxa" w:w="41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Training records and competence matrix</w:t>
            </w:r>
          </w:p>
        </w:tc>
      </w:tr>
      <w:tr>
        <w:trPr>
          <w:tblHeader w:val="false"/>
        </w:trPr>
        <w:tc>
          <w:tcPr>
            <w:tcW w:type="dxa" w:w="26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Gary Jackson</w:t>
            </w:r>
          </w:p>
        </w:tc>
        <w:tc>
          <w:tcPr>
            <w:tcW w:type="dxa" w:w="29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M&amp;E Engineer &amp; Fitter</w:t>
            </w:r>
          </w:p>
        </w:tc>
        <w:tc>
          <w:tcPr>
            <w:tcW w:type="dxa" w:w="41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Welding plant maintenance interface</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color w:val="9C0006"/>
                <w:sz w:val="18"/>
                <w:szCs w:val="18"/>
              </w:rPr>
              <w:t xml:space="preserve">VACANT</w:t>
            </w:r>
          </w:p>
        </w:tc>
        <w:tc>
          <w:tcPr>
            <w:tcW w:type="dxa" w:w="29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H&amp;S and Compliance Manager</w:t>
            </w:r>
          </w:p>
        </w:tc>
        <w:tc>
          <w:tcPr>
            <w:tcW w:type="dxa" w:w="4100"/>
            <w:shd w:fill="EEF3FA" w:color="auto" w:val="clear"/>
            <w:tcMar>
              <w:top w:type="dxa" w:w="60"/>
              <w:left w:type="dxa" w:w="90"/>
              <w:bottom w:type="dxa" w:w="60"/>
              <w:right w:type="dxa" w:w="90"/>
            </w:tcMar>
            <w:vAlign w:val="center"/>
          </w:tcPr>
          <w:p>
            <w:pPr>
              <w:spacing w:after="0" w:line="240"/>
            </w:pPr>
            <w:r>
              <w:rPr>
                <w:rFonts w:ascii="Calibri" w:cs="Calibri" w:eastAsia="Calibri" w:hAnsi="Calibri"/>
                <w:color w:val="9C0006"/>
                <w:sz w:val="18"/>
                <w:szCs w:val="18"/>
              </w:rPr>
              <w:t xml:space="preserve">Post vacant since 2021 — see notes</w:t>
            </w:r>
          </w:p>
        </w:tc>
      </w:tr>
    </w:tbl>
    <w:p>
      <w:pPr>
        <w:pStyle w:val="Heading2"/>
        <w:spacing w:after="80" w:before="200"/>
      </w:pPr>
      <w:r>
        <w:rPr>
          <w:rFonts w:ascii="Calibri" w:cs="Calibri" w:eastAsia="Calibri" w:hAnsi="Calibri"/>
          <w:b/>
          <w:bCs/>
          <w:color w:val="2E5C8A"/>
          <w:sz w:val="22"/>
          <w:szCs w:val="22"/>
        </w:rPr>
        <w:t xml:space="preserve">Notes on the allocation</w:t>
      </w:r>
    </w:p>
    <w:p>
      <w:pPr>
        <w:pStyle w:val="ListParagraph"/>
        <w:numPr>
          <w:ilvl w:val="0"/>
          <w:numId w:val="1"/>
        </w:numPr>
        <w:spacing w:after="40" w:line="264"/>
      </w:pPr>
      <w:r>
        <w:rPr>
          <w:rFonts w:ascii="Calibri" w:cs="Calibri" w:eastAsia="Calibri" w:hAnsi="Calibri"/>
          <w:color w:val="9C0006"/>
          <w:sz w:val="20"/>
          <w:szCs w:val="20"/>
        </w:rPr>
        <w:t xml:space="preserve">Internal Welding Coordinator. The role performs twelve of the twenty essential welding tasks in Annex A, including inspection before, during and after welding, welder allocation and production planning. It requires positional authority over the welders and assessed competence under BS EN ISO 14731. CRGI recommends C. Moulton, Fab Shop Foreman, who holds current welder qualifications and already supervises the fab shop. An apprentice cannot hold this role. [TBC — IDM to confirm]</w:t>
      </w:r>
    </w:p>
    <w:p>
      <w:pPr>
        <w:pStyle w:val="ListParagraph"/>
        <w:numPr>
          <w:ilvl w:val="0"/>
          <w:numId w:val="1"/>
        </w:numPr>
        <w:spacing w:after="40" w:line="264"/>
      </w:pPr>
      <w:r>
        <w:rPr>
          <w:rFonts w:ascii="Calibri" w:cs="Calibri" w:eastAsia="Calibri" w:hAnsi="Calibri"/>
          <w:color w:val="9C0006"/>
          <w:sz w:val="20"/>
          <w:szCs w:val="20"/>
        </w:rPr>
        <w:t xml:space="preserve">O. Rymer. Listed as Fabricator / Welder but appears on no qualification certificate in the evidence pack and on no line of the welder qualification register. Confirm whether he welds on certified work. If he does, a qualification to BS EN ISO 9606-1 is required before he does so again. [TBC]</w:t>
      </w:r>
    </w:p>
    <w:p>
      <w:pPr>
        <w:pStyle w:val="ListParagraph"/>
        <w:numPr>
          <w:ilvl w:val="0"/>
          <w:numId w:val="1"/>
        </w:numPr>
        <w:spacing w:after="40" w:line="264"/>
      </w:pPr>
      <w:r>
        <w:rPr>
          <w:rFonts w:ascii="Calibri" w:cs="Calibri" w:eastAsia="Calibri" w:hAnsi="Calibri"/>
          <w:color w:val="9C0006"/>
          <w:sz w:val="20"/>
          <w:szCs w:val="20"/>
        </w:rPr>
        <w:t xml:space="preserve">H&amp;S and Compliance Manager. Vacant since 2021. The previous post-holder accepted Rev 0 of the welding manual, and welding coordination has been dormant since his departure. Annex A task B.20 currently has no holder. [TBC]</w:t>
      </w:r>
    </w:p>
    <w:p>
      <w:pPr>
        <w:pStyle w:val="ListParagraph"/>
        <w:numPr>
          <w:ilvl w:val="0"/>
          <w:numId w:val="1"/>
        </w:numPr>
        <w:spacing w:after="40" w:line="264"/>
      </w:pPr>
      <w:r>
        <w:rPr>
          <w:rFonts w:ascii="Calibri" w:cs="Calibri" w:eastAsia="Calibri" w:hAnsi="Calibri"/>
          <w:color w:val="9C0006"/>
          <w:sz w:val="20"/>
          <w:szCs w:val="20"/>
        </w:rPr>
        <w:t xml:space="preserve">Quality Manager. No Quality Manager appears on IDM31 Rev 9. Confirm who holds responsibility for the ISO 9001 system and therefore for the QP procedures referenced throughout IDM-FPC-WQM-001. [TBC]</w:t>
      </w:r>
    </w:p>
    <w:p>
      <w:pPr>
        <w:pStyle w:val="ListParagraph"/>
        <w:numPr>
          <w:ilvl w:val="0"/>
          <w:numId w:val="1"/>
        </w:numPr>
        <w:spacing w:after="40" w:line="264"/>
      </w:pPr>
      <w:r>
        <w:rPr>
          <w:rFonts w:ascii="Calibri" w:cs="Calibri" w:eastAsia="Calibri" w:hAnsi="Calibri"/>
          <w:sz w:val="20"/>
          <w:szCs w:val="20"/>
        </w:rPr>
        <w:t xml:space="preserve">N. Collins-Hopkins holds welder qualifications while employed as an apprentice. That is not in itself a problem; her continuity position is being resolved by the RWC.</w:t>
      </w:r>
    </w:p>
    <w:p>
      <w:pPr>
        <w:pStyle w:val="Heading2"/>
        <w:spacing w:after="80" w:before="200"/>
      </w:pPr>
      <w:r>
        <w:rPr>
          <w:rFonts w:ascii="Calibri" w:cs="Calibri" w:eastAsia="Calibri" w:hAnsi="Calibri"/>
          <w:b/>
          <w:bCs/>
          <w:color w:val="2E5C8A"/>
          <w:sz w:val="22"/>
          <w:szCs w:val="22"/>
        </w:rPr>
        <w:t xml:space="preserve">Reporting line for welding coordination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rPr>
          <w:tblHeader w:val="false"/>
        </w:trPr>
        <w:tc>
          <w:tcPr>
            <w:tcW w:type="dxa" w:w="96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Managing Director (B. Smith)</w:t>
            </w:r>
          </w:p>
        </w:tc>
      </w:tr>
      <w:tr>
        <w:trPr>
          <w:tblHeader w:val="false"/>
        </w:trPr>
        <w:tc>
          <w:tcPr>
            <w:tcW w:type="dxa" w:w="9600"/>
            <w:tcMar>
              <w:top w:type="dxa" w:w="60"/>
              <w:left w:type="dxa" w:w="90"/>
              <w:bottom w:type="dxa" w:w="60"/>
              <w:right w:type="dxa" w:w="90"/>
            </w:tcMar>
            <w:vAlign w:val="center"/>
          </w:tcPr>
          <w:p>
            <w:pPr>
              <w:spacing w:after="0" w:line="240"/>
              <w:jc w:val="center"/>
            </w:pPr>
            <w:r>
              <w:rPr>
                <w:rFonts w:ascii="Calibri" w:cs="Calibri" w:eastAsia="Calibri" w:hAnsi="Calibri"/>
                <w:b/>
                <w:bCs/>
                <w:sz w:val="18"/>
                <w:szCs w:val="18"/>
              </w:rPr>
              <w:t xml:space="preserve">↓</w:t>
            </w:r>
          </w:p>
        </w:tc>
      </w:tr>
      <w:tr>
        <w:trPr>
          <w:tblHeader w:val="false"/>
        </w:trPr>
        <w:tc>
          <w:tcPr>
            <w:tcW w:type="dxa" w:w="9600"/>
            <w:tcMar>
              <w:top w:type="dxa" w:w="60"/>
              <w:left w:type="dxa" w:w="90"/>
              <w:bottom w:type="dxa" w:w="60"/>
              <w:right w:type="dxa" w:w="90"/>
            </w:tcMar>
            <w:vAlign w:val="center"/>
          </w:tcPr>
          <w:p>
            <w:pPr>
              <w:spacing w:after="0" w:line="240"/>
              <w:jc w:val="center"/>
            </w:pPr>
            <w:r>
              <w:rPr>
                <w:rFonts w:ascii="Calibri" w:cs="Calibri" w:eastAsia="Calibri" w:hAnsi="Calibri"/>
                <w:b/>
                <w:bCs/>
                <w:sz w:val="18"/>
                <w:szCs w:val="18"/>
              </w:rPr>
              <w:t xml:space="preserve">General Manager (M. Allt)  —  holds the RWC service agreement</w:t>
            </w:r>
          </w:p>
        </w:tc>
      </w:tr>
      <w:tr>
        <w:trPr>
          <w:tblHeader w:val="false"/>
        </w:trPr>
        <w:tc>
          <w:tcPr>
            <w:tcW w:type="dxa" w:w="9600"/>
            <w:tcMar>
              <w:top w:type="dxa" w:w="60"/>
              <w:left w:type="dxa" w:w="90"/>
              <w:bottom w:type="dxa" w:w="60"/>
              <w:right w:type="dxa" w:w="90"/>
            </w:tcMar>
            <w:vAlign w:val="center"/>
          </w:tcPr>
          <w:p>
            <w:pPr>
              <w:spacing w:after="0" w:line="240"/>
              <w:jc w:val="center"/>
            </w:pPr>
            <w:r>
              <w:rPr>
                <w:rFonts w:ascii="Calibri" w:cs="Calibri" w:eastAsia="Calibri" w:hAnsi="Calibri"/>
                <w:b/>
                <w:bCs/>
                <w:sz w:val="18"/>
                <w:szCs w:val="18"/>
              </w:rPr>
              <w:t xml:space="preserve">↓                                    ↘</w:t>
            </w:r>
          </w:p>
        </w:tc>
      </w:tr>
      <w:tr>
        <w:trPr>
          <w:tblHeader w:val="false"/>
        </w:trPr>
        <w:tc>
          <w:tcPr>
            <w:tcW w:type="dxa" w:w="9600"/>
            <w:tcMar>
              <w:top w:type="dxa" w:w="60"/>
              <w:left w:type="dxa" w:w="90"/>
              <w:bottom w:type="dxa" w:w="60"/>
              <w:right w:type="dxa" w:w="90"/>
            </w:tcMar>
            <w:vAlign w:val="center"/>
          </w:tcPr>
          <w:p>
            <w:pPr>
              <w:spacing w:after="0" w:line="240"/>
              <w:jc w:val="center"/>
            </w:pPr>
            <w:r>
              <w:rPr>
                <w:rFonts w:ascii="Calibri" w:cs="Calibri" w:eastAsia="Calibri" w:hAnsi="Calibri"/>
                <w:b/>
                <w:bCs/>
                <w:sz w:val="18"/>
                <w:szCs w:val="18"/>
              </w:rPr>
              <w:t xml:space="preserve">Welding Coordinator (internal) [TBC]        ←  authority  ←        Responsible Welding Coordinator (P. Skillen, external)</w:t>
            </w:r>
          </w:p>
        </w:tc>
      </w:tr>
      <w:tr>
        <w:trPr>
          <w:tblHeader w:val="false"/>
        </w:trPr>
        <w:tc>
          <w:tcPr>
            <w:tcW w:type="dxa" w:w="9600"/>
            <w:tcMar>
              <w:top w:type="dxa" w:w="60"/>
              <w:left w:type="dxa" w:w="90"/>
              <w:bottom w:type="dxa" w:w="60"/>
              <w:right w:type="dxa" w:w="90"/>
            </w:tcMar>
            <w:vAlign w:val="center"/>
          </w:tcPr>
          <w:p>
            <w:pPr>
              <w:spacing w:after="0" w:line="240"/>
              <w:jc w:val="center"/>
            </w:pPr>
            <w:r>
              <w:rPr>
                <w:rFonts w:ascii="Calibri" w:cs="Calibri" w:eastAsia="Calibri" w:hAnsi="Calibri"/>
                <w:b/>
                <w:bCs/>
                <w:sz w:val="18"/>
                <w:szCs w:val="18"/>
              </w:rPr>
              <w:t xml:space="preserve">↓</w:t>
            </w:r>
          </w:p>
        </w:tc>
      </w:tr>
      <w:tr>
        <w:trPr>
          <w:tblHeader w:val="false"/>
        </w:trPr>
        <w:tc>
          <w:tcPr>
            <w:tcW w:type="dxa" w:w="9600"/>
            <w:tcMar>
              <w:top w:type="dxa" w:w="60"/>
              <w:left w:type="dxa" w:w="90"/>
              <w:bottom w:type="dxa" w:w="60"/>
              <w:right w:type="dxa" w:w="90"/>
            </w:tcMar>
            <w:vAlign w:val="center"/>
          </w:tcPr>
          <w:p>
            <w:pPr>
              <w:spacing w:after="0" w:line="240"/>
              <w:jc w:val="center"/>
            </w:pPr>
            <w:r>
              <w:rPr>
                <w:rFonts w:ascii="Calibri" w:cs="Calibri" w:eastAsia="Calibri" w:hAnsi="Calibri"/>
                <w:sz w:val="18"/>
                <w:szCs w:val="18"/>
              </w:rPr>
              <w:t xml:space="preserve">Welders  ·  Fab shop</w:t>
            </w:r>
          </w:p>
        </w:tc>
      </w:tr>
    </w:tbl>
    <w:p>
      <w:pPr>
        <w:spacing w:after="120" w:line="264"/>
      </w:pPr>
      <w:r>
        <w:rPr>
          <w:rFonts w:ascii="Calibri" w:cs="Calibri" w:eastAsia="Calibri" w:hAnsi="Calibri"/>
          <w:i/>
          <w:iCs/>
          <w:sz w:val="18"/>
          <w:szCs w:val="18"/>
        </w:rPr>
        <w:t xml:space="preserve">The RWC's authority runs to the internal coordinator and to the General Manager, not through the production reporting line. A referral to the RWC does not require the General Manager's permission.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2200"/>
        <w:gridCol w:w="1800"/>
      </w:tblGrid>
      <w:tr>
        <w:trPr>
          <w:tblHeader/>
        </w:trPr>
        <w:tc>
          <w:tcPr>
            <w:tcW w:type="dxa" w:w="26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Role</w:t>
            </w:r>
          </w:p>
        </w:tc>
        <w:tc>
          <w:tcPr>
            <w:tcW w:type="dxa" w:w="30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Name</w:t>
            </w:r>
          </w:p>
        </w:tc>
        <w:tc>
          <w:tcPr>
            <w:tcW w:type="dxa" w:w="22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Signature</w:t>
            </w:r>
          </w:p>
        </w:tc>
        <w:tc>
          <w:tcPr>
            <w:tcW w:type="dxa" w:w="18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Date</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Prepared by (CRGI)</w:t>
            </w:r>
          </w:p>
        </w:tc>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8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26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RWC — approved</w:t>
            </w:r>
          </w:p>
        </w:tc>
        <w:tc>
          <w:tcPr>
            <w:tcW w:type="dxa" w:w="30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8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General Manager — approved</w:t>
            </w:r>
          </w:p>
        </w:tc>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8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bl>
    <w:sectPr>
      <w:headerReference w:type="default" r:id="rId7"/>
      <w:footerReference w:type="default" r:id="rId8"/>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IDM Engineering (Chester) Ltd — Welding Organisation and Responsibility Allocation — WMS-A-03-04 Rev 0 DRAFT — Page </w:t>
    </w:r>
    <w:r>
      <w:rPr>
        <w:rFonts w:ascii="Calibri" w:cs="Calibri" w:eastAsia="Calibri" w:hAnsi="Calibri"/>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08080"/>
        <w:sz w:val="16"/>
        <w:szCs w:val="16"/>
      </w:rPr>
      <w:t xml:space="preserve">WMS-A-03-04  Rev 0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2026-08-21T10:14:41.715Z</dcterms:created>
  <dcterms:modified xsi:type="dcterms:W3CDTF">2026-08-21T10:14:41.715Z</dcterms:modified>
</cp:coreProperties>
</file>

<file path=docProps/custom.xml><?xml version="1.0" encoding="utf-8"?>
<Properties xmlns="http://schemas.openxmlformats.org/officeDocument/2006/custom-properties" xmlns:vt="http://schemas.openxmlformats.org/officeDocument/2006/docPropsVTypes"/>
</file>