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pPr>
      <w:r>
        <w:rPr>
          <w:rFonts w:ascii="Calibri" w:cs="Calibri" w:eastAsia="Calibri" w:hAnsi="Calibri"/>
          <w:b/>
          <w:bCs/>
          <w:sz w:val="22"/>
          <w:szCs w:val="22"/>
        </w:rPr>
        <w:t xml:space="preserve">IDM Engineering (Chester) Ltd</w:t>
      </w:r>
    </w:p>
    <w:p>
      <w:pPr>
        <w:spacing w:after="200" w:before="0"/>
      </w:pPr>
      <w:r>
        <w:rPr>
          <w:rFonts w:ascii="Calibri" w:cs="Calibri" w:eastAsia="Calibri" w:hAnsi="Calibri"/>
          <w:color w:val="2E5C8A"/>
          <w:sz w:val="18"/>
          <w:szCs w:val="18"/>
        </w:rPr>
        <w:t xml:space="preserve">Welding Management System  ·  IDM-FPC-WQM-001</w:t>
      </w:r>
    </w:p>
    <w:p>
      <w:pPr>
        <w:spacing w:after="160" w:before="0"/>
      </w:pPr>
      <w:r>
        <w:rPr>
          <w:rFonts w:ascii="Calibri" w:cs="Calibri" w:eastAsia="Calibri" w:hAnsi="Calibri"/>
          <w:b/>
          <w:bCs/>
          <w:color w:val="1F3864"/>
          <w:sz w:val="30"/>
          <w:szCs w:val="30"/>
        </w:rPr>
        <w:t xml:space="preserve">Welding Policy and Management Commitment</w:t>
      </w:r>
    </w:p>
    <w:p>
      <w:pPr>
        <w:pBdr>
          <w:bottom w:val="single" w:color="1F3864" w:sz="8"/>
        </w:pBdr>
        <w:spacing w:after="200"/>
      </w:pP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600"/>
        <w:gridCol w:w="7106"/>
      </w:tblGrid>
      <w:tr>
        <w:trPr>
          <w:tblHeader/>
        </w:trPr>
        <w:tc>
          <w:tcPr>
            <w:tcW w:type="dxa" w:w="2600"/>
            <w:shd w:fill="1F3864" w:color="auto" w:val="clear"/>
            <w:tcMar>
              <w:top w:type="dxa" w:w="60"/>
              <w:left w:type="dxa" w:w="110"/>
              <w:bottom w:type="dxa" w:w="60"/>
              <w:right w:type="dxa" w:w="110"/>
            </w:tcMar>
          </w:tcPr>
          <w:p>
            <w:pPr>
              <w:spacing w:after="0"/>
            </w:pPr>
            <w:r>
              <w:rPr>
                <w:rFonts w:ascii="Calibri" w:cs="Calibri" w:eastAsia="Calibri" w:hAnsi="Calibri"/>
                <w:b/>
                <w:bCs/>
                <w:color w:val="FFFFFF"/>
                <w:sz w:val="18"/>
                <w:szCs w:val="18"/>
              </w:rPr>
              <w:t xml:space="preserve">Field</w:t>
            </w:r>
          </w:p>
        </w:tc>
        <w:tc>
          <w:tcPr>
            <w:tcW w:type="dxa" w:w="7106"/>
            <w:shd w:fill="1F3864" w:color="auto" w:val="clear"/>
            <w:tcMar>
              <w:top w:type="dxa" w:w="60"/>
              <w:left w:type="dxa" w:w="110"/>
              <w:bottom w:type="dxa" w:w="60"/>
              <w:right w:type="dxa" w:w="110"/>
            </w:tcMar>
          </w:tcPr>
          <w:p>
            <w:pPr>
              <w:spacing w:after="0"/>
            </w:pPr>
            <w:r>
              <w:rPr>
                <w:rFonts w:ascii="Calibri" w:cs="Calibri" w:eastAsia="Calibri" w:hAnsi="Calibri"/>
                <w:b/>
                <w:bCs/>
                <w:color w:val="FFFFFF"/>
                <w:sz w:val="18"/>
                <w:szCs w:val="18"/>
              </w:rPr>
              <w:t xml:space="preserve">Detail</w:t>
            </w:r>
          </w:p>
        </w:tc>
      </w:tr>
      <w:tr>
        <w:tc>
          <w:tcPr>
            <w:tcW w:type="dxa" w:w="2600"/>
            <w:tcMar>
              <w:top w:type="dxa" w:w="60"/>
              <w:left w:type="dxa" w:w="110"/>
              <w:bottom w:type="dxa" w:w="60"/>
              <w:right w:type="dxa" w:w="110"/>
            </w:tcMar>
          </w:tcPr>
          <w:p>
            <w:pPr>
              <w:spacing w:after="0"/>
            </w:pPr>
            <w:r>
              <w:rPr>
                <w:rFonts w:ascii="Calibri" w:cs="Calibri" w:eastAsia="Calibri" w:hAnsi="Calibri"/>
                <w:b/>
                <w:bCs/>
                <w:sz w:val="18"/>
                <w:szCs w:val="18"/>
              </w:rPr>
              <w:t xml:space="preserve">Document reference</w:t>
            </w:r>
          </w:p>
        </w:tc>
        <w:tc>
          <w:tcPr>
            <w:tcW w:type="dxa" w:w="7106"/>
            <w:tcMar>
              <w:top w:type="dxa" w:w="60"/>
              <w:left w:type="dxa" w:w="110"/>
              <w:bottom w:type="dxa" w:w="60"/>
              <w:right w:type="dxa" w:w="110"/>
            </w:tcMar>
          </w:tcPr>
          <w:p>
            <w:pPr>
              <w:spacing w:after="0"/>
            </w:pPr>
            <w:r>
              <w:rPr>
                <w:rFonts w:ascii="Calibri" w:cs="Calibri" w:eastAsia="Calibri" w:hAnsi="Calibri"/>
                <w:b w:val="false"/>
                <w:bCs w:val="false"/>
                <w:sz w:val="18"/>
                <w:szCs w:val="18"/>
              </w:rPr>
              <w:t xml:space="preserve">WMS-A-03 · Rev 0 — DRAFT, for IDM signature</w:t>
            </w:r>
          </w:p>
        </w:tc>
      </w:tr>
      <w:tr>
        <w:tc>
          <w:tcPr>
            <w:tcW w:type="dxa" w:w="2600"/>
            <w:shd w:fill="EEF3FA" w:color="auto" w:val="clear"/>
            <w:tcMar>
              <w:top w:type="dxa" w:w="60"/>
              <w:left w:type="dxa" w:w="110"/>
              <w:bottom w:type="dxa" w:w="60"/>
              <w:right w:type="dxa" w:w="110"/>
            </w:tcMar>
          </w:tcPr>
          <w:p>
            <w:pPr>
              <w:spacing w:after="0"/>
            </w:pPr>
            <w:r>
              <w:rPr>
                <w:rFonts w:ascii="Calibri" w:cs="Calibri" w:eastAsia="Calibri" w:hAnsi="Calibri"/>
                <w:b/>
                <w:bCs/>
                <w:sz w:val="18"/>
                <w:szCs w:val="18"/>
              </w:rPr>
              <w:t xml:space="preserve">Owner</w:t>
            </w:r>
          </w:p>
        </w:tc>
        <w:tc>
          <w:tcPr>
            <w:tcW w:type="dxa" w:w="7106"/>
            <w:shd w:fill="EEF3FA" w:color="auto" w:val="clear"/>
            <w:tcMar>
              <w:top w:type="dxa" w:w="60"/>
              <w:left w:type="dxa" w:w="110"/>
              <w:bottom w:type="dxa" w:w="60"/>
              <w:right w:type="dxa" w:w="110"/>
            </w:tcMar>
          </w:tcPr>
          <w:p>
            <w:pPr>
              <w:spacing w:after="0"/>
            </w:pPr>
            <w:r>
              <w:rPr>
                <w:rFonts w:ascii="Calibri" w:cs="Calibri" w:eastAsia="Calibri" w:hAnsi="Calibri"/>
                <w:b w:val="false"/>
                <w:bCs w:val="false"/>
                <w:sz w:val="18"/>
                <w:szCs w:val="18"/>
              </w:rPr>
              <w:t xml:space="preserve">CRGI Solutions Ltd</w:t>
            </w:r>
          </w:p>
        </w:tc>
      </w:tr>
      <w:tr>
        <w:tc>
          <w:tcPr>
            <w:tcW w:type="dxa" w:w="2600"/>
            <w:tcMar>
              <w:top w:type="dxa" w:w="60"/>
              <w:left w:type="dxa" w:w="110"/>
              <w:bottom w:type="dxa" w:w="60"/>
              <w:right w:type="dxa" w:w="110"/>
            </w:tcMar>
          </w:tcPr>
          <w:p>
            <w:pPr>
              <w:spacing w:after="0"/>
            </w:pPr>
            <w:r>
              <w:rPr>
                <w:rFonts w:ascii="Calibri" w:cs="Calibri" w:eastAsia="Calibri" w:hAnsi="Calibri"/>
                <w:b/>
                <w:bCs/>
                <w:sz w:val="18"/>
                <w:szCs w:val="18"/>
              </w:rPr>
              <w:t xml:space="preserve">Approval</w:t>
            </w:r>
          </w:p>
        </w:tc>
        <w:tc>
          <w:tcPr>
            <w:tcW w:type="dxa" w:w="7106"/>
            <w:tcMar>
              <w:top w:type="dxa" w:w="60"/>
              <w:left w:type="dxa" w:w="110"/>
              <w:bottom w:type="dxa" w:w="60"/>
              <w:right w:type="dxa" w:w="110"/>
            </w:tcMar>
          </w:tcPr>
          <w:p>
            <w:pPr>
              <w:spacing w:after="0"/>
            </w:pPr>
            <w:r>
              <w:rPr>
                <w:rFonts w:ascii="Calibri" w:cs="Calibri" w:eastAsia="Calibri" w:hAnsi="Calibri"/>
                <w:b w:val="false"/>
                <w:bCs w:val="false"/>
                <w:sz w:val="18"/>
                <w:szCs w:val="18"/>
              </w:rPr>
              <w:t xml:space="preserve">Responsible Welding Coordinator · General Manager (IDM)</w:t>
            </w:r>
          </w:p>
        </w:tc>
      </w:tr>
      <w:tr>
        <w:tc>
          <w:tcPr>
            <w:tcW w:type="dxa" w:w="2600"/>
            <w:shd w:fill="EEF3FA" w:color="auto" w:val="clear"/>
            <w:tcMar>
              <w:top w:type="dxa" w:w="60"/>
              <w:left w:type="dxa" w:w="110"/>
              <w:bottom w:type="dxa" w:w="60"/>
              <w:right w:type="dxa" w:w="110"/>
            </w:tcMar>
          </w:tcPr>
          <w:p>
            <w:pPr>
              <w:spacing w:after="0"/>
            </w:pPr>
            <w:r>
              <w:rPr>
                <w:rFonts w:ascii="Calibri" w:cs="Calibri" w:eastAsia="Calibri" w:hAnsi="Calibri"/>
                <w:b/>
                <w:bCs/>
                <w:sz w:val="18"/>
                <w:szCs w:val="18"/>
              </w:rPr>
              <w:t xml:space="preserve">Standards</w:t>
            </w:r>
          </w:p>
        </w:tc>
        <w:tc>
          <w:tcPr>
            <w:tcW w:type="dxa" w:w="7106"/>
            <w:shd w:fill="EEF3FA" w:color="auto" w:val="clear"/>
            <w:tcMar>
              <w:top w:type="dxa" w:w="60"/>
              <w:left w:type="dxa" w:w="110"/>
              <w:bottom w:type="dxa" w:w="60"/>
              <w:right w:type="dxa" w:w="110"/>
            </w:tcMar>
          </w:tcPr>
          <w:p>
            <w:pPr>
              <w:spacing w:after="0"/>
            </w:pPr>
            <w:r>
              <w:rPr>
                <w:rFonts w:ascii="Calibri" w:cs="Calibri" w:eastAsia="Calibri" w:hAnsi="Calibri"/>
                <w:b w:val="false"/>
                <w:bCs w:val="false"/>
                <w:sz w:val="18"/>
                <w:szCs w:val="18"/>
              </w:rPr>
              <w:t xml:space="preserve">BS EN ISO 3834-2 · BS EN 1090-1/-2 · BS EN 15085-2</w:t>
            </w:r>
          </w:p>
        </w:tc>
      </w:tr>
    </w:tbl>
    <w:p>
      <w:pPr>
        <w:spacing w:after="140" w:before="320"/>
      </w:pPr>
      <w:r>
        <w:rPr>
          <w:rFonts w:ascii="Calibri" w:cs="Calibri" w:eastAsia="Calibri" w:hAnsi="Calibri"/>
          <w:b/>
          <w:bCs/>
          <w:color w:val="1F3864"/>
          <w:sz w:val="24"/>
          <w:szCs w:val="24"/>
        </w:rPr>
        <w:t xml:space="preserve">Why this is a separate document</w:t>
      </w:r>
    </w:p>
    <w:p>
      <w:pPr>
        <w:spacing w:after="120" w:before="0"/>
      </w:pPr>
      <w:r>
        <w:rPr>
          <w:rFonts w:ascii="Calibri" w:cs="Calibri" w:eastAsia="Calibri" w:hAnsi="Calibri"/>
          <w:sz w:val="20"/>
          <w:szCs w:val="20"/>
        </w:rPr>
        <w:t xml:space="preserve">The welding policy has until now existed only as a paragraph inside the FPC &amp; Welding Quality Manual. A policy that is a paragraph in a manual nobody has signed is not a management commitment. This issues it as a document in its own right, so it can be signed, dated, displayed and produced on request — which is how an assessor expects to meet it.</w:t>
      </w:r>
    </w:p>
    <w:p>
      <w:pPr>
        <w:spacing w:after="120" w:before="0"/>
      </w:pPr>
      <w:r>
        <w:rPr>
          <w:rFonts w:ascii="Calibri" w:cs="Calibri" w:eastAsia="Calibri" w:hAnsi="Calibri"/>
          <w:i/>
          <w:iCs/>
          <w:sz w:val="20"/>
          <w:szCs w:val="20"/>
        </w:rPr>
        <w:t xml:space="preserve">The text below is drafted by CRGI for IDM to adopt. It is not adopted until Section 3 is signed.</w:t>
      </w:r>
    </w:p>
    <w:p>
      <w:pPr>
        <w:spacing w:after="140" w:before="320"/>
      </w:pPr>
      <w:r>
        <w:rPr>
          <w:rFonts w:ascii="Calibri" w:cs="Calibri" w:eastAsia="Calibri" w:hAnsi="Calibri"/>
          <w:b/>
          <w:bCs/>
          <w:color w:val="1F3864"/>
          <w:sz w:val="24"/>
          <w:szCs w:val="24"/>
        </w:rPr>
        <w:t xml:space="preserve">1.  Policy</w:t>
      </w:r>
    </w:p>
    <w:p>
      <w:pPr>
        <w:spacing w:after="160" w:before="0"/>
      </w:pPr>
      <w:r>
        <w:rPr>
          <w:rFonts w:ascii="Calibri" w:cs="Calibri" w:eastAsia="Calibri" w:hAnsi="Calibri"/>
          <w:sz w:val="20"/>
          <w:szCs w:val="20"/>
        </w:rPr>
        <w:t xml:space="preserve">IDM Engineering (Chester) Ltd undertakes welded fabrication for rail and structural applications. The integrity of a welded joint cannot be inspected into a product after the event; it is determined by the procedure used, the competence of the person who welded it, the material it was made from, and whether any of that was recorded at the time. This company therefore commits to the following.</w:t>
      </w:r>
    </w:p>
    <w:p>
      <w:pPr>
        <w:spacing w:after="140" w:before="0"/>
      </w:pPr>
      <w:r>
        <w:rPr>
          <w:rFonts w:ascii="Calibri" w:cs="Calibri" w:eastAsia="Calibri" w:hAnsi="Calibri"/>
          <w:b/>
          <w:bCs/>
          <w:sz w:val="20"/>
          <w:szCs w:val="20"/>
        </w:rPr>
        <w:t xml:space="preserve">Welding is carried out only to an approved welding procedure specification, by a welder whose qualification is current and covers that procedure, in a material approved for the application.</w:t>
      </w:r>
    </w:p>
    <w:p>
      <w:pPr>
        <w:spacing w:after="140" w:before="0"/>
      </w:pPr>
      <w:r>
        <w:rPr>
          <w:rFonts w:ascii="Calibri" w:cs="Calibri" w:eastAsia="Calibri" w:hAnsi="Calibri"/>
          <w:b/>
          <w:bCs/>
          <w:sz w:val="20"/>
          <w:szCs w:val="20"/>
        </w:rPr>
        <w:t xml:space="preserve">Welding coordination is a defined and appointed responsibility, held by a person with the competence required by BS EN ISO 14731 for the certification level in scope. That person has the authority to stop work, reject a procedure, and refuse a release, and that authority is not subject to production pressure.</w:t>
      </w:r>
    </w:p>
    <w:p>
      <w:pPr>
        <w:spacing w:after="140" w:before="0"/>
      </w:pPr>
      <w:r>
        <w:rPr>
          <w:rFonts w:ascii="Calibri" w:cs="Calibri" w:eastAsia="Calibri" w:hAnsi="Calibri"/>
          <w:b/>
          <w:bCs/>
          <w:sz w:val="20"/>
          <w:szCs w:val="20"/>
        </w:rPr>
        <w:t xml:space="preserve">Work outside the certified scope — a material, a process, a thickness or a joint the system does not cover — is referred to the Responsible Welding Coordinator before it is quoted, not before it is welded.</w:t>
      </w:r>
    </w:p>
    <w:p>
      <w:pPr>
        <w:spacing w:after="140" w:before="0"/>
      </w:pPr>
      <w:r>
        <w:rPr>
          <w:rFonts w:ascii="Calibri" w:cs="Calibri" w:eastAsia="Calibri" w:hAnsi="Calibri"/>
          <w:b/>
          <w:bCs/>
          <w:sz w:val="20"/>
          <w:szCs w:val="20"/>
        </w:rPr>
        <w:t xml:space="preserve">Every weld made is traceable to its procedure, its welder, its material and its inspection, by a record made at the time and retained.</w:t>
      </w:r>
    </w:p>
    <w:p>
      <w:pPr>
        <w:spacing w:after="180" w:before="0"/>
      </w:pPr>
      <w:r>
        <w:rPr>
          <w:rFonts w:ascii="Calibri" w:cs="Calibri" w:eastAsia="Calibri" w:hAnsi="Calibri"/>
          <w:b/>
          <w:bCs/>
          <w:sz w:val="20"/>
          <w:szCs w:val="20"/>
        </w:rPr>
        <w:t xml:space="preserve">The welding management system is audited, reviewed and improved as a matter of routine, and the resources to operate it are provided.</w:t>
      </w:r>
    </w:p>
    <w:p>
      <w:pPr>
        <w:spacing w:after="140" w:before="320"/>
      </w:pPr>
      <w:r>
        <w:rPr>
          <w:rFonts w:ascii="Calibri" w:cs="Calibri" w:eastAsia="Calibri" w:hAnsi="Calibri"/>
          <w:b/>
          <w:bCs/>
          <w:color w:val="1F3864"/>
          <w:sz w:val="24"/>
          <w:szCs w:val="24"/>
        </w:rPr>
        <w:t xml:space="preserve">2.  What this commits the company to providing</w:t>
      </w:r>
    </w:p>
    <w:p>
      <w:pPr>
        <w:pStyle w:val="ListParagraph"/>
        <w:numPr>
          <w:ilvl w:val="0"/>
          <w:numId w:val="1"/>
        </w:numPr>
        <w:spacing w:after="90"/>
      </w:pPr>
      <w:r>
        <w:rPr>
          <w:rFonts w:ascii="Calibri" w:cs="Calibri" w:eastAsia="Calibri" w:hAnsi="Calibri"/>
          <w:sz w:val="20"/>
          <w:szCs w:val="20"/>
        </w:rPr>
        <w:t xml:space="preserve">Competent welding coordination, appointed in writing, with defined authority and availability.</w:t>
      </w:r>
    </w:p>
    <w:p>
      <w:pPr>
        <w:pStyle w:val="ListParagraph"/>
        <w:numPr>
          <w:ilvl w:val="0"/>
          <w:numId w:val="1"/>
        </w:numPr>
        <w:spacing w:after="90"/>
      </w:pPr>
      <w:r>
        <w:rPr>
          <w:rFonts w:ascii="Calibri" w:cs="Calibri" w:eastAsia="Calibri" w:hAnsi="Calibri"/>
          <w:sz w:val="20"/>
          <w:szCs w:val="20"/>
        </w:rPr>
        <w:t xml:space="preserve">Sufficient definition of what is being made, before it is made — the product range, the materials and the classes the work is to.</w:t>
      </w:r>
    </w:p>
    <w:p>
      <w:pPr>
        <w:pStyle w:val="ListParagraph"/>
        <w:numPr>
          <w:ilvl w:val="0"/>
          <w:numId w:val="1"/>
        </w:numPr>
        <w:spacing w:after="90"/>
      </w:pPr>
      <w:r>
        <w:rPr>
          <w:rFonts w:ascii="Calibri" w:cs="Calibri" w:eastAsia="Calibri" w:hAnsi="Calibri"/>
          <w:sz w:val="20"/>
          <w:szCs w:val="20"/>
        </w:rPr>
        <w:t xml:space="preserve">Welders qualified to BS EN ISO 9606-1, with continuity confirmed at the intervals the standard requires — a certificate alone is not a qualification.</w:t>
      </w:r>
    </w:p>
    <w:p>
      <w:pPr>
        <w:pStyle w:val="ListParagraph"/>
        <w:numPr>
          <w:ilvl w:val="0"/>
          <w:numId w:val="1"/>
        </w:numPr>
        <w:spacing w:after="90"/>
      </w:pPr>
      <w:r>
        <w:rPr>
          <w:rFonts w:ascii="Calibri" w:cs="Calibri" w:eastAsia="Calibri" w:hAnsi="Calibri"/>
          <w:sz w:val="20"/>
          <w:szCs w:val="20"/>
        </w:rPr>
        <w:t xml:space="preserve">Equipment suitable for the work and maintained and calibrated to a schedule.</w:t>
      </w:r>
    </w:p>
    <w:p>
      <w:pPr>
        <w:pStyle w:val="ListParagraph"/>
        <w:numPr>
          <w:ilvl w:val="0"/>
          <w:numId w:val="1"/>
        </w:numPr>
        <w:spacing w:after="90"/>
      </w:pPr>
      <w:r>
        <w:rPr>
          <w:rFonts w:ascii="Calibri" w:cs="Calibri" w:eastAsia="Calibri" w:hAnsi="Calibri"/>
          <w:sz w:val="20"/>
          <w:szCs w:val="20"/>
        </w:rPr>
        <w:t xml:space="preserve">Materials and consumables that are specified, certified, traceable and stored correctly.</w:t>
      </w:r>
    </w:p>
    <w:p>
      <w:pPr>
        <w:pStyle w:val="ListParagraph"/>
        <w:numPr>
          <w:ilvl w:val="0"/>
          <w:numId w:val="1"/>
        </w:numPr>
        <w:spacing w:after="90"/>
      </w:pPr>
      <w:r>
        <w:rPr>
          <w:rFonts w:ascii="Calibri" w:cs="Calibri" w:eastAsia="Calibri" w:hAnsi="Calibri"/>
          <w:sz w:val="20"/>
          <w:szCs w:val="20"/>
        </w:rPr>
        <w:t xml:space="preserve">Inspection and non-destructive testing by personnel qualified to BS EN ISO 9712.</w:t>
      </w:r>
    </w:p>
    <w:p>
      <w:pPr>
        <w:pStyle w:val="ListParagraph"/>
        <w:numPr>
          <w:ilvl w:val="0"/>
          <w:numId w:val="1"/>
        </w:numPr>
        <w:spacing w:after="90"/>
      </w:pPr>
      <w:r>
        <w:rPr>
          <w:rFonts w:ascii="Calibri" w:cs="Calibri" w:eastAsia="Calibri" w:hAnsi="Calibri"/>
          <w:sz w:val="20"/>
          <w:szCs w:val="20"/>
        </w:rPr>
        <w:t xml:space="preserve">Time for the records to be made. A record made later from memory is not a record.</w:t>
      </w:r>
    </w:p>
    <w:p>
      <w:pPr>
        <w:spacing w:after="140" w:before="320"/>
      </w:pPr>
      <w:r>
        <w:rPr>
          <w:rFonts w:ascii="Calibri" w:cs="Calibri" w:eastAsia="Calibri" w:hAnsi="Calibri"/>
          <w:b/>
          <w:bCs/>
          <w:color w:val="1F3864"/>
          <w:sz w:val="24"/>
          <w:szCs w:val="24"/>
        </w:rPr>
        <w:t xml:space="preserve">3.  Adoption</w:t>
      </w:r>
    </w:p>
    <w:p>
      <w:pPr>
        <w:spacing w:after="120" w:before="0"/>
      </w:pPr>
      <w:r>
        <w:rPr>
          <w:rFonts w:ascii="Calibri" w:cs="Calibri" w:eastAsia="Calibri" w:hAnsi="Calibri"/>
          <w:sz w:val="20"/>
          <w:szCs w:val="20"/>
        </w:rPr>
        <w:t xml:space="preserve">This policy is adopted by the management of IDM Engineering (Chester) Ltd and applies to all welding carried out by or on behalf of the company.</w:t>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3000"/>
        <w:gridCol w:w="3400"/>
        <w:gridCol w:w="3306"/>
      </w:tblGrid>
      <w:tr>
        <w:trPr>
          <w:tblHeader/>
        </w:trPr>
        <w:tc>
          <w:tcPr>
            <w:tcW w:type="dxa" w:w="3000"/>
            <w:shd w:fill="1F3864" w:color="auto" w:val="clear"/>
            <w:tcMar>
              <w:top w:type="dxa" w:w="60"/>
              <w:left w:type="dxa" w:w="110"/>
              <w:bottom w:type="dxa" w:w="60"/>
              <w:right w:type="dxa" w:w="110"/>
            </w:tcMar>
          </w:tcPr>
          <w:p>
            <w:pPr>
              <w:spacing w:after="0"/>
            </w:pPr>
            <w:r>
              <w:rPr>
                <w:rFonts w:ascii="Calibri" w:cs="Calibri" w:eastAsia="Calibri" w:hAnsi="Calibri"/>
                <w:b/>
                <w:bCs/>
                <w:color w:val="FFFFFF"/>
                <w:sz w:val="18"/>
                <w:szCs w:val="18"/>
              </w:rPr>
              <w:t xml:space="preserve">Role</w:t>
            </w:r>
          </w:p>
        </w:tc>
        <w:tc>
          <w:tcPr>
            <w:tcW w:type="dxa" w:w="3400"/>
            <w:shd w:fill="1F3864" w:color="auto" w:val="clear"/>
            <w:tcMar>
              <w:top w:type="dxa" w:w="60"/>
              <w:left w:type="dxa" w:w="110"/>
              <w:bottom w:type="dxa" w:w="60"/>
              <w:right w:type="dxa" w:w="110"/>
            </w:tcMar>
          </w:tcPr>
          <w:p>
            <w:pPr>
              <w:spacing w:after="0"/>
            </w:pPr>
            <w:r>
              <w:rPr>
                <w:rFonts w:ascii="Calibri" w:cs="Calibri" w:eastAsia="Calibri" w:hAnsi="Calibri"/>
                <w:b/>
                <w:bCs/>
                <w:color w:val="FFFFFF"/>
                <w:sz w:val="18"/>
                <w:szCs w:val="18"/>
              </w:rPr>
              <w:t xml:space="preserve">Name / signature</w:t>
            </w:r>
          </w:p>
        </w:tc>
        <w:tc>
          <w:tcPr>
            <w:tcW w:type="dxa" w:w="3306"/>
            <w:shd w:fill="1F3864" w:color="auto" w:val="clear"/>
            <w:tcMar>
              <w:top w:type="dxa" w:w="60"/>
              <w:left w:type="dxa" w:w="110"/>
              <w:bottom w:type="dxa" w:w="60"/>
              <w:right w:type="dxa" w:w="110"/>
            </w:tcMar>
          </w:tcPr>
          <w:p>
            <w:pPr>
              <w:spacing w:after="0"/>
            </w:pPr>
            <w:r>
              <w:rPr>
                <w:rFonts w:ascii="Calibri" w:cs="Calibri" w:eastAsia="Calibri" w:hAnsi="Calibri"/>
                <w:b/>
                <w:bCs/>
                <w:color w:val="FFFFFF"/>
                <w:sz w:val="18"/>
                <w:szCs w:val="18"/>
              </w:rPr>
              <w:t xml:space="preserve">Date</w:t>
            </w:r>
          </w:p>
        </w:tc>
      </w:tr>
      <w:tr>
        <w:tc>
          <w:tcPr>
            <w:tcW w:type="dxa" w:w="3000"/>
            <w:tcMar>
              <w:top w:type="dxa" w:w="60"/>
              <w:left w:type="dxa" w:w="110"/>
              <w:bottom w:type="dxa" w:w="60"/>
              <w:right w:type="dxa" w:w="110"/>
            </w:tcMar>
          </w:tcPr>
          <w:p>
            <w:pPr>
              <w:spacing w:after="0"/>
            </w:pPr>
            <w:r>
              <w:rPr>
                <w:rFonts w:ascii="Calibri" w:cs="Calibri" w:eastAsia="Calibri" w:hAnsi="Calibri"/>
                <w:b/>
                <w:bCs/>
                <w:sz w:val="18"/>
                <w:szCs w:val="18"/>
              </w:rPr>
              <w:t xml:space="preserve">General Manager, IDM Engineering (Chester) Ltd</w:t>
            </w:r>
          </w:p>
        </w:tc>
        <w:tc>
          <w:tcPr>
            <w:tcW w:type="dxa" w:w="3400"/>
            <w:tcMar>
              <w:top w:type="dxa" w:w="60"/>
              <w:left w:type="dxa" w:w="110"/>
              <w:bottom w:type="dxa" w:w="60"/>
              <w:right w:type="dxa" w:w="110"/>
            </w:tcMar>
          </w:tcPr>
          <w:p>
            <w:pPr>
              <w:spacing w:after="0"/>
            </w:pPr>
            <w:r>
              <w:rPr>
                <w:rFonts w:ascii="Calibri" w:cs="Calibri" w:eastAsia="Calibri" w:hAnsi="Calibri"/>
                <w:b w:val="false"/>
                <w:bCs w:val="false"/>
                <w:sz w:val="18"/>
                <w:szCs w:val="18"/>
              </w:rPr>
              <w:t xml:space="preserve"/>
            </w:r>
          </w:p>
        </w:tc>
        <w:tc>
          <w:tcPr>
            <w:tcW w:type="dxa" w:w="3306"/>
            <w:tcMar>
              <w:top w:type="dxa" w:w="60"/>
              <w:left w:type="dxa" w:w="110"/>
              <w:bottom w:type="dxa" w:w="60"/>
              <w:right w:type="dxa" w:w="110"/>
            </w:tcMar>
          </w:tcPr>
          <w:p>
            <w:pPr>
              <w:spacing w:after="0"/>
            </w:pPr>
            <w:r>
              <w:rPr>
                <w:rFonts w:ascii="Calibri" w:cs="Calibri" w:eastAsia="Calibri" w:hAnsi="Calibri"/>
                <w:b w:val="false"/>
                <w:bCs w:val="false"/>
                <w:sz w:val="18"/>
                <w:szCs w:val="18"/>
              </w:rPr>
              <w:t xml:space="preserve"/>
            </w:r>
          </w:p>
        </w:tc>
      </w:tr>
      <w:tr>
        <w:tc>
          <w:tcPr>
            <w:tcW w:type="dxa" w:w="3000"/>
            <w:shd w:fill="EEF3FA" w:color="auto" w:val="clear"/>
            <w:tcMar>
              <w:top w:type="dxa" w:w="60"/>
              <w:left w:type="dxa" w:w="110"/>
              <w:bottom w:type="dxa" w:w="60"/>
              <w:right w:type="dxa" w:w="110"/>
            </w:tcMar>
          </w:tcPr>
          <w:p>
            <w:pPr>
              <w:spacing w:after="0"/>
            </w:pPr>
            <w:r>
              <w:rPr>
                <w:rFonts w:ascii="Calibri" w:cs="Calibri" w:eastAsia="Calibri" w:hAnsi="Calibri"/>
                <w:b/>
                <w:bCs/>
                <w:sz w:val="18"/>
                <w:szCs w:val="18"/>
              </w:rPr>
              <w:t xml:space="preserve">Quality Manager</w:t>
            </w:r>
          </w:p>
        </w:tc>
        <w:tc>
          <w:tcPr>
            <w:tcW w:type="dxa" w:w="3400"/>
            <w:shd w:fill="EEF3FA" w:color="auto" w:val="clear"/>
            <w:tcMar>
              <w:top w:type="dxa" w:w="60"/>
              <w:left w:type="dxa" w:w="110"/>
              <w:bottom w:type="dxa" w:w="60"/>
              <w:right w:type="dxa" w:w="110"/>
            </w:tcMar>
          </w:tcPr>
          <w:p>
            <w:pPr>
              <w:spacing w:after="0"/>
            </w:pPr>
            <w:r>
              <w:rPr>
                <w:rFonts w:ascii="Calibri" w:cs="Calibri" w:eastAsia="Calibri" w:hAnsi="Calibri"/>
                <w:b w:val="false"/>
                <w:bCs w:val="false"/>
                <w:sz w:val="18"/>
                <w:szCs w:val="18"/>
              </w:rPr>
              <w:t xml:space="preserve"/>
            </w:r>
          </w:p>
        </w:tc>
        <w:tc>
          <w:tcPr>
            <w:tcW w:type="dxa" w:w="3306"/>
            <w:shd w:fill="EEF3FA" w:color="auto" w:val="clear"/>
            <w:tcMar>
              <w:top w:type="dxa" w:w="60"/>
              <w:left w:type="dxa" w:w="110"/>
              <w:bottom w:type="dxa" w:w="60"/>
              <w:right w:type="dxa" w:w="110"/>
            </w:tcMar>
          </w:tcPr>
          <w:p>
            <w:pPr>
              <w:spacing w:after="0"/>
            </w:pPr>
            <w:r>
              <w:rPr>
                <w:rFonts w:ascii="Calibri" w:cs="Calibri" w:eastAsia="Calibri" w:hAnsi="Calibri"/>
                <w:b w:val="false"/>
                <w:bCs w:val="false"/>
                <w:sz w:val="18"/>
                <w:szCs w:val="18"/>
              </w:rPr>
              <w:t xml:space="preserve"/>
            </w:r>
          </w:p>
        </w:tc>
      </w:tr>
      <w:tr>
        <w:tc>
          <w:tcPr>
            <w:tcW w:type="dxa" w:w="3000"/>
            <w:tcMar>
              <w:top w:type="dxa" w:w="60"/>
              <w:left w:type="dxa" w:w="110"/>
              <w:bottom w:type="dxa" w:w="60"/>
              <w:right w:type="dxa" w:w="110"/>
            </w:tcMar>
          </w:tcPr>
          <w:p>
            <w:pPr>
              <w:spacing w:after="0"/>
            </w:pPr>
            <w:r>
              <w:rPr>
                <w:rFonts w:ascii="Calibri" w:cs="Calibri" w:eastAsia="Calibri" w:hAnsi="Calibri"/>
                <w:b/>
                <w:bCs/>
                <w:sz w:val="18"/>
                <w:szCs w:val="18"/>
              </w:rPr>
              <w:t xml:space="preserve">Responsible Welding Coordinator — noted</w:t>
            </w:r>
          </w:p>
        </w:tc>
        <w:tc>
          <w:tcPr>
            <w:tcW w:type="dxa" w:w="3400"/>
            <w:tcMar>
              <w:top w:type="dxa" w:w="60"/>
              <w:left w:type="dxa" w:w="110"/>
              <w:bottom w:type="dxa" w:w="60"/>
              <w:right w:type="dxa" w:w="110"/>
            </w:tcMar>
          </w:tcPr>
          <w:p>
            <w:pPr>
              <w:spacing w:after="0"/>
            </w:pPr>
            <w:r>
              <w:rPr>
                <w:rFonts w:ascii="Calibri" w:cs="Calibri" w:eastAsia="Calibri" w:hAnsi="Calibri"/>
                <w:b w:val="false"/>
                <w:bCs w:val="false"/>
                <w:sz w:val="18"/>
                <w:szCs w:val="18"/>
              </w:rPr>
              <w:t xml:space="preserve"/>
            </w:r>
          </w:p>
        </w:tc>
        <w:tc>
          <w:tcPr>
            <w:tcW w:type="dxa" w:w="3306"/>
            <w:tcMar>
              <w:top w:type="dxa" w:w="60"/>
              <w:left w:type="dxa" w:w="110"/>
              <w:bottom w:type="dxa" w:w="60"/>
              <w:right w:type="dxa" w:w="110"/>
            </w:tcMar>
          </w:tcPr>
          <w:p>
            <w:pPr>
              <w:spacing w:after="0"/>
            </w:pPr>
            <w:r>
              <w:rPr>
                <w:rFonts w:ascii="Calibri" w:cs="Calibri" w:eastAsia="Calibri" w:hAnsi="Calibri"/>
                <w:b w:val="false"/>
                <w:bCs w:val="false"/>
                <w:sz w:val="18"/>
                <w:szCs w:val="18"/>
              </w:rPr>
              <w:t xml:space="preserve"/>
            </w:r>
          </w:p>
        </w:tc>
      </w:tr>
    </w:tbl>
    <w:p>
      <w:pPr>
        <w:spacing w:after="140" w:before="320"/>
      </w:pPr>
      <w:r>
        <w:rPr>
          <w:rFonts w:ascii="Calibri" w:cs="Calibri" w:eastAsia="Calibri" w:hAnsi="Calibri"/>
          <w:b/>
          <w:bCs/>
          <w:color w:val="1F3864"/>
          <w:sz w:val="24"/>
          <w:szCs w:val="24"/>
        </w:rPr>
        <w:t xml:space="preserve">4.  Review</w:t>
      </w:r>
    </w:p>
    <w:p>
      <w:pPr>
        <w:spacing w:after="120" w:before="0"/>
      </w:pPr>
      <w:r>
        <w:rPr>
          <w:rFonts w:ascii="Calibri" w:cs="Calibri" w:eastAsia="Calibri" w:hAnsi="Calibri"/>
          <w:sz w:val="20"/>
          <w:szCs w:val="20"/>
        </w:rPr>
        <w:t xml:space="preserve">Reviewed at management review (WMS-A-09), on any change of certification scope or level, and on any change of the people named above. Displayed where welding is carried out.</w:t>
      </w:r>
    </w:p>
    <w:p>
      <w:pPr>
        <w:pBdr>
          <w:bottom w:val="single" w:color="1F3864" w:sz="8"/>
        </w:pBdr>
        <w:spacing w:after="200"/>
      </w:pPr>
    </w:p>
    <w:p>
      <w:pPr>
        <w:spacing w:after="120" w:before="0"/>
      </w:pPr>
      <w:r>
        <w:rPr>
          <w:rFonts w:ascii="Calibri" w:cs="Calibri" w:eastAsia="Calibri" w:hAnsi="Calibri"/>
          <w:i/>
          <w:iCs/>
          <w:color w:val="2E5C8A"/>
          <w:sz w:val="18"/>
          <w:szCs w:val="18"/>
        </w:rPr>
        <w:t xml:space="preserve">Controlled record under IDM-FPC-WQM-001. Filed at 00 System Manual and Control / 01. Drafted by CRGI Solutions Ltd for adoption by IDM — not in force until Section 3 is signed.</w:t>
      </w:r>
    </w:p>
    <w:sectPr>
      <w:pgSz w:w="11906" w:h="16838" w:orient="portrait"/>
      <w:pgMar w:top="1100" w:right="1100" w:bottom="11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WMS-A-03 Welding policy and management commitment</dc:title>
  <dc:creator>CRGI Solutions Ltd</dc:creator>
  <cp:lastModifiedBy>Un-named</cp:lastModifiedBy>
  <cp:revision>1</cp:revision>
  <dcterms:created xsi:type="dcterms:W3CDTF">2026-09-20T13:30:27.427Z</dcterms:created>
  <dcterms:modified xsi:type="dcterms:W3CDTF">2026-09-20T13:30:27.427Z</dcterms:modified>
</cp:coreProperties>
</file>

<file path=docProps/custom.xml><?xml version="1.0" encoding="utf-8"?>
<Properties xmlns="http://schemas.openxmlformats.org/officeDocument/2006/custom-properties" xmlns:vt="http://schemas.openxmlformats.org/officeDocument/2006/docPropsVTypes"/>
</file>