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30"/>
          <w:szCs w:val="30"/>
        </w:rPr>
        <w:t xml:space="preserve">IDM Engineering (Chester) Ltd</w:t>
      </w:r>
    </w:p>
    <w:p>
      <w:pPr>
        <w:spacing w:after="240"/>
        <w:jc w:val="center"/>
      </w:pPr>
      <w:r>
        <w:rPr>
          <w:rFonts w:ascii="Calibri" w:cs="Calibri" w:eastAsia="Calibri" w:hAnsi="Calibri"/>
          <w:b/>
          <w:bCs/>
          <w:sz w:val="24"/>
          <w:szCs w:val="24"/>
        </w:rPr>
        <w:t xml:space="preserve">Responsible Welding Coordinator — Appointment &amp; Delegation of Authority</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7000"/>
      </w:tblGrid>
      <w:tr>
        <w:trPr>
          <w:tblHeader w:val="false"/>
        </w:trPr>
        <w:tc>
          <w:tcPr>
            <w:tcW w:type="dxa" w:w="26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18"/>
                <w:szCs w:val="18"/>
              </w:rPr>
              <w:t xml:space="preserve">Document reference</w:t>
            </w:r>
          </w:p>
        </w:tc>
        <w:tc>
          <w:tcPr>
            <w:tcW w:type="dxa" w:w="70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18"/>
                <w:szCs w:val="18"/>
              </w:rPr>
              <w:t xml:space="preserve">WMS-A-05  ·  Rev 0  ·  DRAFT</w:t>
            </w:r>
          </w:p>
        </w:tc>
      </w:tr>
    </w:tbl>
    <w:p>
      <w:pPr>
        <w:spacing w:after="160" w:line="264"/>
      </w:pPr>
      <w:r>
        <w:rPr>
          <w:rFonts w:ascii="Calibri" w:cs="Calibri" w:eastAsia="Calibri" w:hAnsi="Calibri"/>
          <w:sz w:val="20"/>
          <w:szCs w:val="20"/>
        </w:rPr>
        <w:t xml:space="preserve"/>
      </w:r>
    </w:p>
    <w:p>
      <w:pPr>
        <w:spacing w:after="120" w:line="264"/>
      </w:pPr>
      <w:r>
        <w:rPr>
          <w:rFonts w:ascii="Calibri" w:cs="Calibri" w:eastAsia="Calibri" w:hAnsi="Calibri"/>
          <w:sz w:val="20"/>
          <w:szCs w:val="20"/>
        </w:rPr>
        <w:t xml:space="preserve">This record appoints the Responsible Welding Coordinator (RWC) for IDM Engineering (Chester) Ltd, defines the authority delegated to that appointment, and records the competence evidence relied upon. It is a controlled record under IDM-FPC-WQM-001 and is reviewed on any change of personnel, scope or certification level.</w:t>
      </w:r>
    </w:p>
    <w:p>
      <w:pPr>
        <w:pStyle w:val="Heading2"/>
        <w:spacing w:after="80" w:before="200"/>
      </w:pPr>
      <w:r>
        <w:rPr>
          <w:rFonts w:ascii="Calibri" w:cs="Calibri" w:eastAsia="Calibri" w:hAnsi="Calibri"/>
          <w:b/>
          <w:bCs/>
          <w:color w:val="2E5C8A"/>
          <w:sz w:val="22"/>
          <w:szCs w:val="22"/>
        </w:rPr>
        <w:t xml:space="preserve">1.  Appointment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6600"/>
      </w:tblGrid>
      <w:tr>
        <w:trPr>
          <w:tblHeader/>
        </w:trPr>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Field</w:t>
            </w:r>
          </w:p>
        </w:tc>
        <w:tc>
          <w:tcPr>
            <w:tcW w:type="dxa" w:w="6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Detail</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Appointee</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Peter Skillen</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Organisation</w:t>
            </w:r>
          </w:p>
        </w:tc>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Axis NDT (external appointment)</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Role</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Responsible Welding Coordinator (RWC)</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Effective from</w:t>
            </w:r>
          </w:p>
        </w:tc>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Review date</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Deputy / cover</w:t>
            </w:r>
          </w:p>
        </w:tc>
        <w:tc>
          <w:tcPr>
            <w:tcW w:type="dxa" w:w="6600"/>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[TBC — to be nominated]</w:t>
            </w:r>
          </w:p>
        </w:tc>
      </w:tr>
    </w:tbl>
    <w:p>
      <w:pPr>
        <w:pStyle w:val="Heading2"/>
        <w:spacing w:after="80" w:before="200"/>
      </w:pPr>
      <w:r>
        <w:rPr>
          <w:rFonts w:ascii="Calibri" w:cs="Calibri" w:eastAsia="Calibri" w:hAnsi="Calibri"/>
          <w:b/>
          <w:bCs/>
          <w:color w:val="2E5C8A"/>
          <w:sz w:val="22"/>
          <w:szCs w:val="22"/>
        </w:rPr>
        <w:t xml:space="preserve">2.  Scope of appointment</w:t>
      </w:r>
    </w:p>
    <w:p>
      <w:pPr>
        <w:pStyle w:val="ListParagraph"/>
        <w:numPr>
          <w:ilvl w:val="0"/>
          <w:numId w:val="1"/>
        </w:numPr>
        <w:spacing w:after="40" w:line="264"/>
      </w:pPr>
      <w:r>
        <w:rPr>
          <w:rFonts w:ascii="Calibri" w:cs="Calibri" w:eastAsia="Calibri" w:hAnsi="Calibri"/>
          <w:sz w:val="20"/>
          <w:szCs w:val="20"/>
        </w:rPr>
        <w:t xml:space="preserve">BS EN ISO 3834-2 — comprehensive quality requirements for fusion welding.</w:t>
      </w:r>
    </w:p>
    <w:p>
      <w:pPr>
        <w:pStyle w:val="ListParagraph"/>
        <w:numPr>
          <w:ilvl w:val="0"/>
          <w:numId w:val="1"/>
        </w:numPr>
        <w:spacing w:after="40" w:line="264"/>
      </w:pPr>
      <w:r>
        <w:rPr>
          <w:rFonts w:ascii="Calibri" w:cs="Calibri" w:eastAsia="Calibri" w:hAnsi="Calibri"/>
          <w:sz w:val="20"/>
          <w:szCs w:val="20"/>
        </w:rPr>
        <w:t xml:space="preserve">BS EN 1090-1 / -2 — structural steelwork, Execution Class EXC2.</w:t>
      </w:r>
    </w:p>
    <w:p>
      <w:pPr>
        <w:pStyle w:val="ListParagraph"/>
        <w:numPr>
          <w:ilvl w:val="0"/>
          <w:numId w:val="1"/>
        </w:numPr>
        <w:spacing w:after="40" w:line="264"/>
      </w:pPr>
      <w:r>
        <w:rPr>
          <w:rFonts w:ascii="Calibri" w:cs="Calibri" w:eastAsia="Calibri" w:hAnsi="Calibri"/>
          <w:sz w:val="20"/>
          <w:szCs w:val="20"/>
        </w:rPr>
        <w:t xml:space="preserve">BS EN 15085-2 — railway vehicles and components, Certification Level CL2 across the rail product range.</w:t>
      </w:r>
    </w:p>
    <w:p>
      <w:pPr>
        <w:pStyle w:val="ListParagraph"/>
        <w:numPr>
          <w:ilvl w:val="0"/>
          <w:numId w:val="1"/>
        </w:numPr>
        <w:spacing w:after="40" w:line="264"/>
      </w:pPr>
      <w:r>
        <w:rPr>
          <w:rFonts w:ascii="Calibri" w:cs="Calibri" w:eastAsia="Calibri" w:hAnsi="Calibri"/>
          <w:sz w:val="20"/>
          <w:szCs w:val="20"/>
        </w:rPr>
        <w:t xml:space="preserve">Materials: carbon steel (primary) and stainless steel (secondary). Aluminium is deferred and outside this appointment.</w:t>
      </w:r>
    </w:p>
    <w:p>
      <w:pPr>
        <w:pStyle w:val="ListParagraph"/>
        <w:numPr>
          <w:ilvl w:val="0"/>
          <w:numId w:val="1"/>
        </w:numPr>
        <w:spacing w:after="40" w:line="264"/>
      </w:pPr>
      <w:r>
        <w:rPr>
          <w:rFonts w:ascii="Calibri" w:cs="Calibri" w:eastAsia="Calibri" w:hAnsi="Calibri"/>
          <w:sz w:val="20"/>
          <w:szCs w:val="20"/>
        </w:rPr>
        <w:t xml:space="preserve">Dissimilar and out-of-scope combinations, including steel to cast iron, are referred to the RWC before any welding proceeds and are not within scope until a qualified procedure and qualified welders exist.</w:t>
      </w:r>
    </w:p>
    <w:p>
      <w:pPr>
        <w:pStyle w:val="Heading2"/>
        <w:spacing w:after="80" w:before="200"/>
      </w:pPr>
      <w:r>
        <w:rPr>
          <w:rFonts w:ascii="Calibri" w:cs="Calibri" w:eastAsia="Calibri" w:hAnsi="Calibri"/>
          <w:b/>
          <w:bCs/>
          <w:color w:val="2E5C8A"/>
          <w:sz w:val="22"/>
          <w:szCs w:val="22"/>
        </w:rPr>
        <w:t xml:space="preserve">3.  Competence evidence</w:t>
      </w:r>
    </w:p>
    <w:p>
      <w:pPr>
        <w:spacing w:after="120" w:line="264"/>
      </w:pPr>
      <w:r>
        <w:rPr>
          <w:rFonts w:ascii="Calibri" w:cs="Calibri" w:eastAsia="Calibri" w:hAnsi="Calibri"/>
          <w:sz w:val="20"/>
          <w:szCs w:val="20"/>
        </w:rPr>
        <w:t xml:space="preserve">For BS EN 15085-2 CL2 the RWC must hold comprehensive technical knowledge covering all materials in scope. The following evidence is held: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400"/>
        <w:gridCol w:w="2400"/>
        <w:gridCol w:w="1800"/>
        <w:gridCol w:w="2000"/>
      </w:tblGrid>
      <w:tr>
        <w:trPr>
          <w:tblHeader/>
        </w:trPr>
        <w:tc>
          <w:tcPr>
            <w:tcW w:type="dxa" w:w="3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Evidence</w:t>
            </w:r>
          </w:p>
        </w:tc>
        <w:tc>
          <w:tcPr>
            <w:tcW w:type="dxa" w:w="2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Reference / issuing body</w:t>
            </w:r>
          </w:p>
        </w:tc>
        <w:tc>
          <w:tcPr>
            <w:tcW w:type="dxa" w:w="18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c>
          <w:tcPr>
            <w:tcW w:type="dxa" w:w="2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Verified by</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IWE / EWE certificate</w:t>
            </w:r>
          </w:p>
        </w:tc>
        <w:tc>
          <w:tcPr>
            <w:tcW w:type="dxa" w:w="24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[awaited]</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CV / experience record</w:t>
            </w:r>
          </w:p>
        </w:tc>
        <w:tc>
          <w:tcPr>
            <w:tcW w:type="dxa" w:w="2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Other (specify)</w:t>
            </w:r>
          </w:p>
        </w:tc>
        <w:tc>
          <w:tcPr>
            <w:tcW w:type="dxa" w:w="2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p>
      <w:pPr>
        <w:spacing w:after="120" w:line="264"/>
      </w:pPr>
      <w:r>
        <w:rPr>
          <w:rFonts w:ascii="Calibri" w:cs="Calibri" w:eastAsia="Calibri" w:hAnsi="Calibri"/>
          <w:i/>
          <w:iCs/>
          <w:sz w:val="20"/>
          <w:szCs w:val="20"/>
        </w:rPr>
        <w:t xml:space="preserve">Verification against BS EN ISO 14731 is recorded above before this appointment takes effect. The appointment is not operative while the competence evidence is outstanding.</w:t>
      </w:r>
    </w:p>
    <w:p>
      <w:pPr>
        <w:pStyle w:val="Heading2"/>
        <w:spacing w:after="80" w:before="200"/>
      </w:pPr>
      <w:r>
        <w:rPr>
          <w:rFonts w:ascii="Calibri" w:cs="Calibri" w:eastAsia="Calibri" w:hAnsi="Calibri"/>
          <w:b/>
          <w:bCs/>
          <w:color w:val="2E5C8A"/>
          <w:sz w:val="22"/>
          <w:szCs w:val="22"/>
        </w:rPr>
        <w:t xml:space="preserve">4.  Availability and escalation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400"/>
        <w:gridCol w:w="6200"/>
      </w:tblGrid>
      <w:tr>
        <w:trPr>
          <w:tblHeader/>
        </w:trPr>
        <w:tc>
          <w:tcPr>
            <w:tcW w:type="dxa" w:w="3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Item</w:t>
            </w:r>
          </w:p>
        </w:tc>
        <w:tc>
          <w:tcPr>
            <w:tcW w:type="dxa" w:w="6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Agreed arrangement</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Committed availability</w:t>
            </w:r>
          </w:p>
        </w:tc>
        <w:tc>
          <w:tcPr>
            <w:tcW w:type="dxa" w:w="6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Response time — routine referral</w:t>
            </w:r>
          </w:p>
        </w:tc>
        <w:tc>
          <w:tcPr>
            <w:tcW w:type="dxa" w:w="6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Response time — production hold</w:t>
            </w:r>
          </w:p>
        </w:tc>
        <w:tc>
          <w:tcPr>
            <w:tcW w:type="dxa" w:w="6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Contact route</w:t>
            </w:r>
          </w:p>
        </w:tc>
        <w:tc>
          <w:tcPr>
            <w:tcW w:type="dxa" w:w="6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Escalation within IDM</w:t>
            </w:r>
          </w:p>
        </w:tc>
        <w:tc>
          <w:tcPr>
            <w:tcW w:type="dxa" w:w="6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Tasks the deputy may discharge</w:t>
            </w:r>
          </w:p>
        </w:tc>
        <w:tc>
          <w:tcPr>
            <w:tcW w:type="dxa" w:w="6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Tasks reserved to the RWC</w:t>
            </w:r>
          </w:p>
        </w:tc>
        <w:tc>
          <w:tcPr>
            <w:tcW w:type="dxa" w:w="6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p>
      <w:r>
        <w:br w:type="page"/>
      </w:r>
    </w:p>
    <w:p>
      <w:pPr>
        <w:pStyle w:val="Heading2"/>
        <w:spacing w:after="80" w:before="200"/>
      </w:pPr>
      <w:r>
        <w:rPr>
          <w:rFonts w:ascii="Calibri" w:cs="Calibri" w:eastAsia="Calibri" w:hAnsi="Calibri"/>
          <w:b/>
          <w:bCs/>
          <w:color w:val="2E5C8A"/>
          <w:sz w:val="22"/>
          <w:szCs w:val="22"/>
        </w:rPr>
        <w:t xml:space="preserve">5.  Delegation of essential welding tasks (BS EN ISO 14731)</w:t>
      </w:r>
    </w:p>
    <w:p>
      <w:pPr>
        <w:spacing w:after="120" w:line="264"/>
      </w:pPr>
      <w:r>
        <w:rPr>
          <w:rFonts w:ascii="Calibri" w:cs="Calibri" w:eastAsia="Calibri" w:hAnsi="Calibri"/>
          <w:sz w:val="20"/>
          <w:szCs w:val="20"/>
        </w:rPr>
        <w:t xml:space="preserve">A = approves and authorises; the decision rests here and the task is not complete without this signature. P = performs the task day to day. S = supports and provides input. — = no allocation.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600"/>
        <w:gridCol w:w="1500"/>
        <w:gridCol w:w="1900"/>
        <w:gridCol w:w="1600"/>
      </w:tblGrid>
      <w:tr>
        <w:trPr>
          <w:tblHeader/>
        </w:trPr>
        <w:tc>
          <w:tcPr>
            <w:tcW w:type="dxa" w:w="4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Essential welding task (BS EN ISO 14731)</w:t>
            </w:r>
          </w:p>
        </w:tc>
        <w:tc>
          <w:tcPr>
            <w:tcW w:type="dxa" w:w="15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RWC</w:t>
            </w:r>
          </w:p>
        </w:tc>
        <w:tc>
          <w:tcPr>
            <w:tcW w:type="dxa" w:w="19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Welding Coordinator (internal)</w:t>
            </w:r>
          </w:p>
        </w:tc>
        <w:tc>
          <w:tcPr>
            <w:tcW w:type="dxa" w:w="1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General Manager</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 Review of requirements</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B.2 Technical review</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B.3 Sub-contracting (welding, NDT, heat treatment)</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B.4 Welding personnel — qualification and continuity</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B.5 Equipment — suitability, maintenance, validation</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B.6 Production planning</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B.7 Qualification of welding procedures</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 / P</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B.8 Welding procedure specifications</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 / P</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B.9 Work instructions</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B.10 Welding consumables</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B.11 Materials — purchasing, storage, traceability</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B.12 Inspection and testing before welding</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B.13 Inspection and testing during welding</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B.14 Inspection and testing after welding</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B.15 Post-weld heat treatment</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B.16 Non-conformance and corrective action</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B.17 Calibration and validation of equipment</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B.18 Identification and traceability</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B.19 Quality records</w:t>
            </w:r>
          </w:p>
        </w:tc>
        <w:tc>
          <w:tcPr>
            <w:tcW w:type="dxa" w:w="15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c>
          <w:tcPr>
            <w:tcW w:type="dxa" w:w="1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r>
      <w:tr>
        <w:trPr>
          <w:tblHeader w:val="false"/>
        </w:trPr>
        <w:tc>
          <w:tcPr>
            <w:tcW w:type="dxa" w:w="4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B.20 Health, safety and environment</w:t>
            </w:r>
          </w:p>
        </w:tc>
        <w:tc>
          <w:tcPr>
            <w:tcW w:type="dxa" w:w="15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S</w:t>
            </w:r>
          </w:p>
        </w:tc>
        <w:tc>
          <w:tcPr>
            <w:tcW w:type="dxa" w:w="1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w:t>
            </w:r>
          </w:p>
        </w:tc>
        <w:tc>
          <w:tcPr>
            <w:tcW w:type="dxa" w:w="1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w:t>
            </w:r>
          </w:p>
        </w:tc>
      </w:tr>
    </w:tbl>
    <w:p>
      <w:pPr>
        <w:spacing w:after="120" w:line="264"/>
      </w:pPr>
      <w:r>
        <w:rPr>
          <w:rFonts w:ascii="Calibri" w:cs="Calibri" w:eastAsia="Calibri" w:hAnsi="Calibri"/>
          <w:i/>
          <w:iCs/>
          <w:sz w:val="20"/>
          <w:szCs w:val="20"/>
        </w:rPr>
        <w:t xml:space="preserve">Tasks B.12, B.13 and B.14 are subject to the independence rule at Section 7 of IDM-FPC-WQM-001 where the internal Welding Coordinator is also the welder who made the weld. Health, safety and environmental duties (B.20) remain IDM's statutory responsibility and are not delegated to an external coordinator.</w:t>
      </w:r>
    </w:p>
    <w:p>
      <w:pPr>
        <w:pStyle w:val="Heading2"/>
        <w:spacing w:after="80" w:before="200"/>
      </w:pPr>
      <w:r>
        <w:rPr>
          <w:rFonts w:ascii="Calibri" w:cs="Calibri" w:eastAsia="Calibri" w:hAnsi="Calibri"/>
          <w:b/>
          <w:bCs/>
          <w:color w:val="2E5C8A"/>
          <w:sz w:val="22"/>
          <w:szCs w:val="22"/>
        </w:rPr>
        <w:t xml:space="preserve">6.  Internal welding coordinator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6600"/>
      </w:tblGrid>
      <w:tr>
        <w:trPr>
          <w:tblHeader/>
        </w:trPr>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Field</w:t>
            </w:r>
          </w:p>
        </w:tc>
        <w:tc>
          <w:tcPr>
            <w:tcW w:type="dxa" w:w="6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Detail</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Appointee</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N. Collins-Hopkins  [TBC]</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Competence assessed by RWC</w:t>
            </w:r>
          </w:p>
        </w:tc>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Yes / No — date:</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Basis of assessment</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Training needs identified</w:t>
            </w:r>
          </w:p>
        </w:tc>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Also a production welder?</w:t>
            </w:r>
          </w:p>
        </w:tc>
        <w:tc>
          <w:tcPr>
            <w:tcW w:type="dxa" w:w="66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Yes — independence rule applies</w:t>
            </w:r>
          </w:p>
        </w:tc>
      </w:tr>
      <w:tr>
        <w:trPr>
          <w:tblHeader w:val="false"/>
        </w:trPr>
        <w:tc>
          <w:tcPr>
            <w:tcW w:type="dxa" w:w="30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Own qualification position resolved</w:t>
            </w:r>
          </w:p>
        </w:tc>
        <w:tc>
          <w:tcPr>
            <w:tcW w:type="dxa" w:w="66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Yes / No — date:</w:t>
            </w:r>
          </w:p>
        </w:tc>
      </w:tr>
    </w:tbl>
    <w:p>
      <w:pPr>
        <w:pStyle w:val="Heading2"/>
        <w:spacing w:after="80" w:before="200"/>
      </w:pPr>
      <w:r>
        <w:rPr>
          <w:rFonts w:ascii="Calibri" w:cs="Calibri" w:eastAsia="Calibri" w:hAnsi="Calibri"/>
          <w:b/>
          <w:bCs/>
          <w:color w:val="2E5C8A"/>
          <w:sz w:val="22"/>
          <w:szCs w:val="22"/>
        </w:rPr>
        <w:t xml:space="preserve">7.  Acceptance</w:t>
      </w:r>
    </w:p>
    <w:p>
      <w:pPr>
        <w:spacing w:after="120" w:line="264"/>
      </w:pPr>
      <w:r>
        <w:rPr>
          <w:rFonts w:ascii="Calibri" w:cs="Calibri" w:eastAsia="Calibri" w:hAnsi="Calibri"/>
          <w:sz w:val="20"/>
          <w:szCs w:val="20"/>
        </w:rPr>
        <w:t xml:space="preserve">By signing, the RWC accepts the appointment, confirms the delegation at Section 5 is correct and achievable within the availability at Section 4, and confirms the competence evidence at Section 3 is complete and current.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2200"/>
        <w:gridCol w:w="2000"/>
      </w:tblGrid>
      <w:tr>
        <w:trPr>
          <w:tblHeader/>
        </w:trPr>
        <w:tc>
          <w:tcPr>
            <w:tcW w:type="dxa" w:w="2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Role</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Signature</w:t>
            </w:r>
          </w:p>
        </w:tc>
        <w:tc>
          <w:tcPr>
            <w:tcW w:type="dxa" w:w="2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r>
      <w:tr>
        <w:trPr>
          <w:tblHeader w:val="false"/>
        </w:trPr>
        <w:tc>
          <w:tcPr>
            <w:tcW w:type="dxa" w:w="2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Responsible Welding Coordinator</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4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General Manager (IDM)</w:t>
            </w:r>
          </w:p>
        </w:tc>
        <w:tc>
          <w:tcPr>
            <w:tcW w:type="dxa" w:w="3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Quality Manager (IDM)</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p>
      <w:pPr>
        <w:spacing w:after="120" w:line="264"/>
      </w:pPr>
      <w:r>
        <w:rPr>
          <w:rFonts w:ascii="Calibri" w:cs="Calibri" w:eastAsia="Calibri" w:hAnsi="Calibri"/>
          <w:sz w:val="20"/>
          <w:szCs w:val="20"/>
        </w:rPr>
        <w:t xml:space="preserve"/>
      </w:r>
    </w:p>
    <w:p>
      <w:pPr>
        <w:spacing w:after="120" w:line="264"/>
      </w:pPr>
      <w:r>
        <w:rPr>
          <w:rFonts w:ascii="Calibri" w:cs="Calibri" w:eastAsia="Calibri" w:hAnsi="Calibri"/>
          <w:i/>
          <w:iCs/>
          <w:sz w:val="18"/>
          <w:szCs w:val="18"/>
        </w:rPr>
        <w:t xml:space="preserve">Retained as a controlled record under IDM-FPC-WQM-001 Section 7. Reviewed on any change of personnel, scope or certification level.</w:t>
      </w:r>
    </w:p>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RWC Appointment &amp; Delegation Record —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WMS-A-05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2026-08-21T09:04:51.012Z</dcterms:created>
  <dcterms:modified xsi:type="dcterms:W3CDTF">2026-08-21T09:04:51.013Z</dcterms:modified>
</cp:coreProperties>
</file>

<file path=docProps/custom.xml><?xml version="1.0" encoding="utf-8"?>
<Properties xmlns="http://schemas.openxmlformats.org/officeDocument/2006/custom-properties" xmlns:vt="http://schemas.openxmlformats.org/officeDocument/2006/docPropsVTypes"/>
</file>