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3000"/>
      </w:tblGrid>
      <w:tr>
        <w:trPr>
          <w:tblHeader w:val="false"/>
        </w:trPr>
        <w:tc>
          <w:tcPr>
            <w:tcW w:type="dxa" w:w="6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Management Review — Welding Input &amp; Output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WMS-A-09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sz w:val="20"/>
          <w:szCs w:val="20"/>
        </w:rPr>
        <w:t xml:space="preserve">The welding content of IDM's annual management review. Prepared by the RWC with the internal Welding Coordinator and tabled as an input to the existing management review process — it does not create a separate review.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900"/>
        <w:gridCol w:w="1600"/>
        <w:gridCol w:w="3300"/>
      </w:tblGrid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Review date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Period covered</w:t>
            </w:r>
          </w:p>
        </w:tc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Minute ref</w:t>
            </w:r>
          </w:p>
        </w:tc>
        <w:tc>
          <w:tcPr>
            <w:tcW w:type="dxa" w:w="3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Input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400"/>
        <w:gridCol w:w="2600"/>
      </w:tblGrid>
      <w:tr>
        <w:trPr>
          <w:tblHeader/>
        </w:trPr>
        <w:tc>
          <w:tcPr>
            <w:tcW w:type="dxa" w:w="3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Input</w:t>
            </w:r>
          </w:p>
        </w:tc>
        <w:tc>
          <w:tcPr>
            <w:tcW w:type="dxa" w:w="3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Data for the period</w:t>
            </w:r>
          </w:p>
        </w:tc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Comment / trend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Certification status — standards held, surveillance due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Certification body findings and their closure status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Internal audit findings (WMS-A-08)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Welder qualifications — number current, number lapsed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Continuity confirmations — due, signed, overdue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Single-welder exposure by WPS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WPS and WPQR — validity, gaps against work won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Welding non-conformances — number, type, trend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Weld repair rate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NDT results — rejection rate by method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Customer complaints and returns involving welds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Activity log completeness — periods with no entry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RWC availability against the agreed schedule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Sub-contractor performance (NDT, heat treatment, profiling)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Calibration — overdue items, plant withdrawn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Changes to standards or customer requirements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Enquiries declined or referred for scope reasons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Training and competence actions outstanding</w:t>
            </w:r>
          </w:p>
        </w:tc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3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Resource adequacy for the welding system</w:t>
            </w:r>
          </w:p>
        </w:tc>
        <w:tc>
          <w:tcPr>
            <w:tcW w:type="dxa" w:w="3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Output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2400"/>
        <w:gridCol w:w="1500"/>
        <w:gridCol w:w="1500"/>
      </w:tblGrid>
      <w:tr>
        <w:trPr>
          <w:tblHeader/>
        </w:trPr>
        <w:tc>
          <w:tcPr>
            <w:tcW w:type="dxa" w:w="4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Decision or action</w:t>
            </w:r>
          </w:p>
        </w:tc>
        <w:tc>
          <w:tcPr>
            <w:tcW w:type="dxa" w:w="24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Target date</w:t>
            </w:r>
          </w:p>
        </w:tc>
        <w:tc>
          <w:tcPr>
            <w:tcW w:type="dxa" w:w="15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Ref</w:t>
            </w:r>
          </w:p>
        </w:tc>
      </w:tr>
      <w:tr>
        <w:trPr>
          <w:tblHeader w:val="false"/>
        </w:trPr>
        <w:tc>
          <w:tcPr>
            <w:tcW w:type="dxa" w:w="4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Heading2"/>
        <w:spacing w:after="80" w:before="200"/>
      </w:pPr>
      <w:r>
        <w:rPr>
          <w:rFonts w:ascii="Calibri" w:cs="Calibri" w:eastAsia="Calibri" w:hAnsi="Calibri"/>
          <w:b/>
          <w:bCs/>
          <w:color w:val="2E5C8A"/>
          <w:sz w:val="22"/>
          <w:szCs w:val="22"/>
        </w:rPr>
        <w:t xml:space="preserve">Statement on continuing suitability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00"/>
      </w:tblGrid>
      <w:tr>
        <w:trPr>
          <w:tblHeader w:val="false"/>
        </w:trPr>
        <w:tc>
          <w:tcPr>
            <w:tcW w:type="dxa" w:w="9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Is the welding management system continuing to be suitable, adequate and effective? State the basis.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9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line="264"/>
      </w:pPr>
      <w:r>
        <w:rPr>
          <w:rFonts w:ascii="Calibri" w:cs="Calibri" w:eastAsia="Calibri" w:hAnsi="Calibri"/>
          <w:i/>
          <w:iCs/>
          <w:color w:val="9C0006"/>
          <w:sz w:val="18"/>
          <w:szCs w:val="18"/>
        </w:rPr>
        <w:t xml:space="preserve">A period in which the activity log shows no coordination entries cannot be reported as an effective system, whatever the other figures show.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/>
        </w:trPr>
        <w:tc>
          <w:tcPr>
            <w:tcW w:type="dxa" w:w="26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2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shd w:fill="1F3864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RWC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General Manager</w:t>
            </w:r>
          </w:p>
        </w:tc>
        <w:tc>
          <w:tcPr>
            <w:tcW w:type="dxa" w:w="30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tblHeader w:val="false"/>
        </w:trPr>
        <w:tc>
          <w:tcPr>
            <w:tcW w:type="dxa" w:w="26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Managing Director</w:t>
            </w:r>
          </w:p>
        </w:tc>
        <w:tc>
          <w:tcPr>
            <w:tcW w:type="dxa" w:w="30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22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shd w:fill="EEF3FA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IDM Engineering (Chester) Ltd — Management Review - Welding Input and Output — WMS-A-09 Rev 0 DRAFT — Page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WMS-A-09  Rev 0 (DRAFT)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2026-08-21T10:14:41.963Z</dcterms:created>
  <dcterms:modified xsi:type="dcterms:W3CDTF">2026-08-21T10:14:41.963Z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