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Declaration of Performance — skeleton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WMS-F-05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b/>
          <w:bCs/>
          <w:color w:val="9C0006"/>
          <w:sz w:val="20"/>
          <w:szCs w:val="20"/>
        </w:rPr>
        <w:t xml:space="preserve">SKELETON ONLY. The required content, format and numbering of a Declaration of Performance are set by the applicable regulation and by BS EN 1090-1, and are not reproduced here. Complete this template only after confirming the required content against the current text and after the market question (GB / EU / NI) is settled. [TBC]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tblHeader/>
        </w:trPr>
        <w:tc>
          <w:tcPr>
            <w:tcW w:type="dxa" w:w="3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DoP unique identification code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Product type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Intended use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Manufacturer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IDM Engineering (Chester) Ltd, Unit 4 / Triton House, Indigo Business Park, Oil Sites Road, Ellesmere Port, CH65 4AJ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System of assessment and verification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[confirm from BS EN 1090-1]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Harmonised / designated standard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BS EN 1090-1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Notified / approved body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[TWI Certification — insert body number on certification]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Certificate reference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Declared performance — essential characteristics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[complete from the standard — tolerances, weldability, fracture toughness, load-bearing capacity, reaction to fire, and any others applicable]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Execution Class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EXC2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Marking applied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color w:val="9C0006"/>
                <w:sz w:val="18"/>
                <w:szCs w:val="18"/>
              </w:rPr>
              <w:t xml:space="preserve">[UKCA / CE / CE UKNI — TBC]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Signed for and on behalf of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Name and position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Place and date of issue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CRGI has not populated the essential characteristics or the assessment system. Those are regulatory content and must be taken from the standard and the applicable regulation, not from a template.</w:t>
      </w:r>
    </w:p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Declaration of Performance - skeleton — WMS-F-05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WMS-F-05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2026-08-21T10:14:42.162Z</dcterms:created>
  <dcterms:modified xsi:type="dcterms:W3CDTF">2026-08-21T10:14:42.162Z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