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80" w:line="280"/>
      </w:pPr>
      <w:r>
        <w:rPr>
          <w:rFonts w:ascii="Calibri" w:cs="Calibri" w:eastAsia="Calibri" w:hAnsi="Calibri"/>
          <w:b/>
          <w:bCs/>
          <w:i w:val="false"/>
          <w:iCs w:val="false"/>
          <w:color w:val="1F3864"/>
          <w:sz w:val="24"/>
          <w:szCs w:val="24"/>
        </w:rPr>
        <w:t xml:space="preserve">IDM Engineering (Chester) Ltd</w:t>
      </w:r>
    </w:p>
    <w:p>
      <w:pPr>
        <w:spacing w:after="220" w:before="0" w:line="280"/>
      </w:pPr>
      <w:r>
        <w:rPr>
          <w:rFonts w:ascii="Calibri" w:cs="Calibri" w:eastAsia="Calibri" w:hAnsi="Calibri"/>
          <w:b w:val="false"/>
          <w:bCs w:val="false"/>
          <w:i w:val="false"/>
          <w:iCs w:val="false"/>
          <w:color w:val="2E5C8A"/>
          <w:sz w:val="17"/>
          <w:szCs w:val="17"/>
        </w:rPr>
        <w:t xml:space="preserve">Welding Management System  ·  IDM-FPC-WQM-001</w:t>
      </w:r>
    </w:p>
    <w:p>
      <w:pPr>
        <w:spacing w:after="60" w:before="80" w:line="280"/>
      </w:pPr>
      <w:r>
        <w:rPr>
          <w:rFonts w:ascii="Calibri" w:cs="Calibri" w:eastAsia="Calibri" w:hAnsi="Calibri"/>
          <w:b/>
          <w:bCs/>
          <w:i w:val="false"/>
          <w:iCs w:val="false"/>
          <w:color w:val="1F3864"/>
          <w:sz w:val="30"/>
          <w:szCs w:val="30"/>
        </w:rPr>
        <w:t xml:space="preserve">Weld Maps and Drawing Requirements</w:t>
      </w:r>
    </w:p>
    <w:p>
      <w:pPr>
        <w:pBdr>
          <w:bottom w:val="single" w:color="1F3864" w:sz="8"/>
        </w:pBdr>
        <w:spacing w:after="200" w:before="6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6760"/>
      </w:tblGrid>
      <w:tr>
        <w:trPr>
          <w:tblHeader/>
        </w:trPr>
        <w:tc>
          <w:tcPr>
            <w:tcW w:type="dxa" w:w="260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Field</w:t>
            </w:r>
          </w:p>
        </w:tc>
        <w:tc>
          <w:tcPr>
            <w:tcW w:type="dxa" w:w="676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Detail</w:t>
            </w:r>
          </w:p>
        </w:tc>
      </w:tr>
      <w:tr>
        <w:tc>
          <w:tcPr>
            <w:tcW w:type="dxa" w:w="26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Document reference</w:t>
            </w:r>
          </w:p>
        </w:tc>
        <w:tc>
          <w:tcPr>
            <w:tcW w:type="dxa" w:w="67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WMS-G-03  ·  Rev 0 — DRAFT</w:t>
            </w:r>
          </w:p>
        </w:tc>
      </w:tr>
      <w:tr>
        <w:tc>
          <w:tcPr>
            <w:tcW w:type="dxa" w:w="26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Owner</w:t>
            </w:r>
          </w:p>
        </w:tc>
        <w:tc>
          <w:tcPr>
            <w:tcW w:type="dxa" w:w="676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CRGI Solutions Ltd</w:t>
            </w:r>
          </w:p>
        </w:tc>
      </w:tr>
      <w:tr>
        <w:tc>
          <w:tcPr>
            <w:tcW w:type="dxa" w:w="26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Approval</w:t>
            </w:r>
          </w:p>
        </w:tc>
        <w:tc>
          <w:tcPr>
            <w:tcW w:type="dxa" w:w="67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Responsible Welding Coordinator  ·  General Manager (IDM)</w:t>
            </w:r>
          </w:p>
        </w:tc>
      </w:tr>
      <w:tr>
        <w:tc>
          <w:tcPr>
            <w:tcW w:type="dxa" w:w="26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Standards</w:t>
            </w:r>
          </w:p>
        </w:tc>
        <w:tc>
          <w:tcPr>
            <w:tcW w:type="dxa" w:w="676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BS EN 15085-2  ·  BS EN 15085-3  ·  BS EN 1090-2  ·  BS EN ISO 3834-2</w:t>
            </w:r>
          </w:p>
        </w:tc>
      </w:tr>
    </w:tbl>
    <w:p>
      <w:pPr>
        <w:spacing w:after="140" w:before="320"/>
      </w:pPr>
      <w:r>
        <w:rPr>
          <w:rFonts w:ascii="Calibri" w:cs="Calibri" w:eastAsia="Calibri" w:hAnsi="Calibri"/>
          <w:b/>
          <w:bCs/>
          <w:i w:val="false"/>
          <w:iCs w:val="false"/>
          <w:color w:val="1F3864"/>
          <w:sz w:val="24"/>
          <w:szCs w:val="24"/>
        </w:rPr>
        <w:t xml:space="preserve">What this is</w:t>
      </w:r>
    </w:p>
    <w:p>
      <w:pPr>
        <w:spacing w:after="120" w:before="80" w:line="280"/>
      </w:pPr>
      <w:r>
        <w:rPr>
          <w:rFonts w:ascii="Calibri" w:cs="Calibri" w:eastAsia="Calibri" w:hAnsi="Calibri"/>
          <w:b w:val="false"/>
          <w:bCs w:val="false"/>
          <w:i w:val="false"/>
          <w:iCs w:val="false"/>
          <w:color w:val="1A1A1A"/>
          <w:sz w:val="20"/>
          <w:szCs w:val="20"/>
        </w:rPr>
        <w:t xml:space="preserve">This record does two things. It states what welding information a drawing must carry before IDM will weld to it, and it maps who holds design responsibility for producing that information. Together those answer the question a certification body asks about a welded railway assembly: who decided this joint needed that weld, and on what basis.</w:t>
      </w:r>
    </w:p>
    <w:p>
      <w:pPr>
        <w:spacing w:after="120" w:before="80" w:line="280"/>
      </w:pPr>
      <w:r>
        <w:rPr>
          <w:rFonts w:ascii="Calibri" w:cs="Calibri" w:eastAsia="Calibri" w:hAnsi="Calibri"/>
          <w:b/>
          <w:bCs/>
          <w:i w:val="false"/>
          <w:iCs w:val="false"/>
          <w:color w:val="1A1A1A"/>
          <w:sz w:val="20"/>
          <w:szCs w:val="20"/>
        </w:rPr>
        <w:t xml:space="preserve">What it does not do is reproduce BS EN 15085-3.</w:t>
      </w:r>
      <w:r>
        <w:rPr>
          <w:rFonts w:ascii="Calibri" w:cs="Calibri" w:eastAsia="Calibri" w:hAnsi="Calibri"/>
          <w:b w:val="false"/>
          <w:bCs w:val="false"/>
          <w:i w:val="false"/>
          <w:iCs w:val="false"/>
          <w:color w:val="1A1A1A"/>
          <w:sz w:val="20"/>
          <w:szCs w:val="20"/>
        </w:rPr>
        <w:t xml:space="preserve"> The weld performance class and weld inspection class designations, and the rules for assigning them, are read from the current text of that standard and from the customer drawing — never from this document or from the manual. The edition IDM holds is unverified (WMS-A-11).</w:t>
      </w:r>
    </w:p>
    <w:p>
      <w:pPr>
        <w:spacing w:after="140" w:before="320"/>
      </w:pPr>
      <w:r>
        <w:rPr>
          <w:rFonts w:ascii="Calibri" w:cs="Calibri" w:eastAsia="Calibri" w:hAnsi="Calibri"/>
          <w:b/>
          <w:bCs/>
          <w:i w:val="false"/>
          <w:iCs w:val="false"/>
          <w:color w:val="1F3864"/>
          <w:sz w:val="24"/>
          <w:szCs w:val="24"/>
        </w:rPr>
        <w:t xml:space="preserve">1.  The drawing and the weld map do different jobs</w:t>
      </w:r>
    </w:p>
    <w:p>
      <w:pPr>
        <w:spacing w:after="120" w:before="80" w:line="280"/>
      </w:pPr>
      <w:r>
        <w:rPr>
          <w:rFonts w:ascii="Calibri" w:cs="Calibri" w:eastAsia="Calibri" w:hAnsi="Calibri"/>
          <w:b w:val="false"/>
          <w:bCs w:val="false"/>
          <w:i w:val="false"/>
          <w:iCs w:val="false"/>
          <w:color w:val="1A1A1A"/>
          <w:sz w:val="20"/>
          <w:szCs w:val="20"/>
        </w:rPr>
        <w:t xml:space="preserve">The drawing is the design input: it says what the joint must achieve. The weld map is the manufacturing decision: it says how IDM will achieve it, with which procedure and which welder. A certified job needs both, and neither substitutes for the other.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200"/>
        <w:gridCol w:w="7160"/>
      </w:tblGrid>
      <w:tr>
        <w:trPr>
          <w:tblHeader/>
        </w:trPr>
        <w:tc>
          <w:tcPr>
            <w:tcW w:type="dxa" w:w="220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Document</w:t>
            </w:r>
          </w:p>
        </w:tc>
        <w:tc>
          <w:tcPr>
            <w:tcW w:type="dxa" w:w="716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What it carries</w:t>
            </w:r>
          </w:p>
        </w:tc>
      </w:tr>
      <w:tr>
        <w:tc>
          <w:tcPr>
            <w:tcW w:type="dxa" w:w="22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The drawing</w:t>
            </w:r>
          </w:p>
        </w:tc>
        <w:tc>
          <w:tcPr>
            <w:tcW w:type="dxa" w:w="71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Joint locations and weld symbols, the weld performance class, the inspection class, the parent material and the acceptance level. Produced by whoever holds design responsibility.</w:t>
            </w:r>
          </w:p>
        </w:tc>
      </w:tr>
      <w:tr>
        <w:tc>
          <w:tcPr>
            <w:tcW w:type="dxa" w:w="22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Weld map WMS-E-02</w:t>
            </w:r>
          </w:p>
        </w:tc>
        <w:tc>
          <w:tcPr>
            <w:tcW w:type="dxa" w:w="716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Each joint on that drawing linked to its WPS, its welder and its inspection requirement. Produced by the Welding Coordinator at job planning, filed as Job Pack section 2.</w:t>
            </w:r>
          </w:p>
        </w:tc>
      </w:tr>
    </w:tbl>
    <w:p>
      <w:pPr>
        <w:spacing w:after="140" w:before="320"/>
      </w:pPr>
      <w:r>
        <w:rPr>
          <w:rFonts w:ascii="Calibri" w:cs="Calibri" w:eastAsia="Calibri" w:hAnsi="Calibri"/>
          <w:b/>
          <w:bCs/>
          <w:i w:val="false"/>
          <w:iCs w:val="false"/>
          <w:color w:val="1F3864"/>
          <w:sz w:val="24"/>
          <w:szCs w:val="24"/>
        </w:rPr>
        <w:t xml:space="preserve">2.  What a drawing must carry before IDM welds to it</w:t>
      </w:r>
    </w:p>
    <w:p>
      <w:pPr>
        <w:spacing w:after="120" w:before="80" w:line="280"/>
      </w:pPr>
      <w:r>
        <w:rPr>
          <w:rFonts w:ascii="Calibri" w:cs="Calibri" w:eastAsia="Calibri" w:hAnsi="Calibri"/>
          <w:b w:val="false"/>
          <w:bCs w:val="false"/>
          <w:i w:val="false"/>
          <w:iCs w:val="false"/>
          <w:color w:val="1A1A1A"/>
          <w:sz w:val="20"/>
          <w:szCs w:val="20"/>
        </w:rPr>
        <w:t xml:space="preserve">Checked at contract and technical review (WMS-E-01) before the job is accepted, not at the point of welding.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3600"/>
        <w:gridCol w:w="2760"/>
      </w:tblGrid>
      <w:tr>
        <w:trPr>
          <w:tblHeader/>
        </w:trPr>
        <w:tc>
          <w:tcPr>
            <w:tcW w:type="dxa" w:w="300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Information required</w:t>
            </w:r>
          </w:p>
        </w:tc>
        <w:tc>
          <w:tcPr>
            <w:tcW w:type="dxa" w:w="360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Why it is needed</w:t>
            </w:r>
          </w:p>
        </w:tc>
        <w:tc>
          <w:tcPr>
            <w:tcW w:type="dxa" w:w="276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Recorded on</w:t>
            </w:r>
          </w:p>
        </w:tc>
      </w:tr>
      <w:tr>
        <w:tc>
          <w:tcPr>
            <w:tcW w:type="dxa" w:w="30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Joint locations and weld symbols</w:t>
            </w:r>
          </w:p>
        </w:tc>
        <w:tc>
          <w:tcPr>
            <w:tcW w:type="dxa" w:w="36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Identifies each weld so it can be mapped, welded and inspected individually. Symbols to BS EN ISO 2553.</w:t>
            </w:r>
          </w:p>
        </w:tc>
        <w:tc>
          <w:tcPr>
            <w:tcW w:type="dxa" w:w="27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Weld map WMS-E-02</w:t>
            </w:r>
          </w:p>
        </w:tc>
      </w:tr>
      <w:tr>
        <w:tc>
          <w:tcPr>
            <w:tcW w:type="dxa" w:w="30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Weld performance class (CP…)</w:t>
            </w:r>
          </w:p>
        </w:tc>
        <w:tc>
          <w:tcPr>
            <w:tcW w:type="dxa" w:w="36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Assigned per BS EN 15085-3 from the joint’s stress and safety category. It drives the inspection class and the certification level.</w:t>
            </w:r>
          </w:p>
        </w:tc>
        <w:tc>
          <w:tcPr>
            <w:tcW w:type="dxa" w:w="276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WMS-E-01, then WMS-E-02</w:t>
            </w:r>
          </w:p>
        </w:tc>
      </w:tr>
      <w:tr>
        <w:tc>
          <w:tcPr>
            <w:tcW w:type="dxa" w:w="30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Weld inspection class (CT…)</w:t>
            </w:r>
          </w:p>
        </w:tc>
        <w:tc>
          <w:tcPr>
            <w:tcW w:type="dxa" w:w="36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Sets the extent of testing. IDM cannot plan inspection without it.</w:t>
            </w:r>
          </w:p>
        </w:tc>
        <w:tc>
          <w:tcPr>
            <w:tcW w:type="dxa" w:w="27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WMS-E-01, then the ITP</w:t>
            </w:r>
          </w:p>
        </w:tc>
      </w:tr>
      <w:tr>
        <w:tc>
          <w:tcPr>
            <w:tcW w:type="dxa" w:w="30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Parent material specification and grade</w:t>
            </w:r>
          </w:p>
        </w:tc>
        <w:tc>
          <w:tcPr>
            <w:tcW w:type="dxa" w:w="36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Must appear on the material and consumable approval matrix (WMS-C-09). A material not on it is not weldable at IDM.</w:t>
            </w:r>
          </w:p>
        </w:tc>
        <w:tc>
          <w:tcPr>
            <w:tcW w:type="dxa" w:w="276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WMS-E-01</w:t>
            </w:r>
          </w:p>
        </w:tc>
      </w:tr>
      <w:tr>
        <w:tc>
          <w:tcPr>
            <w:tcW w:type="dxa" w:w="30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Acceptance level</w:t>
            </w:r>
          </w:p>
        </w:tc>
        <w:tc>
          <w:tcPr>
            <w:tcW w:type="dxa" w:w="36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The quality level to BS EN ISO 5817 against which welds are accepted or rejected.</w:t>
            </w:r>
          </w:p>
        </w:tc>
        <w:tc>
          <w:tcPr>
            <w:tcW w:type="dxa" w:w="27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WMS-E-01, then WMS-E-05</w:t>
            </w:r>
          </w:p>
        </w:tc>
      </w:tr>
      <w:tr>
        <w:tc>
          <w:tcPr>
            <w:tcW w:type="dxa" w:w="30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Post-weld and surface protection requirements</w:t>
            </w:r>
          </w:p>
        </w:tc>
        <w:tc>
          <w:tcPr>
            <w:tcW w:type="dxa" w:w="36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Determines whether work falls outside the current scope — see WMS-F-08.</w:t>
            </w:r>
          </w:p>
        </w:tc>
        <w:tc>
          <w:tcPr>
            <w:tcW w:type="dxa" w:w="276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WMS-E-01</w:t>
            </w:r>
          </w:p>
        </w:tc>
      </w:tr>
      <w:tr>
        <w:tc>
          <w:tcPr>
            <w:tcW w:type="dxa" w:w="30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Drawing revision and status</w:t>
            </w:r>
          </w:p>
        </w:tc>
        <w:tc>
          <w:tcPr>
            <w:tcW w:type="dxa" w:w="36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An advanced or unreleased copy is not a manufacturing input. Alstom 24308 is currently held as an advanced copy for validation only.</w:t>
            </w:r>
          </w:p>
        </w:tc>
        <w:tc>
          <w:tcPr>
            <w:tcW w:type="dxa" w:w="27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WMS-D-11</w:t>
            </w:r>
          </w:p>
        </w:tc>
      </w:tr>
    </w:tbl>
    <w:p>
      <w:pPr>
        <w:spacing w:after="140" w:before="320"/>
      </w:pPr>
      <w:r>
        <w:rPr>
          <w:rFonts w:ascii="Calibri" w:cs="Calibri" w:eastAsia="Calibri" w:hAnsi="Calibri"/>
          <w:b/>
          <w:bCs/>
          <w:i w:val="false"/>
          <w:iCs w:val="false"/>
          <w:color w:val="1F3864"/>
          <w:sz w:val="24"/>
          <w:szCs w:val="24"/>
        </w:rPr>
        <w:t xml:space="preserve">3.  If the drawing does not carry it</w:t>
      </w:r>
    </w:p>
    <w:p>
      <w:pPr>
        <w:spacing w:after="120" w:before="80" w:line="280"/>
      </w:pPr>
      <w:r>
        <w:rPr>
          <w:rFonts w:ascii="Calibri" w:cs="Calibri" w:eastAsia="Calibri" w:hAnsi="Calibri"/>
          <w:b/>
          <w:bCs/>
          <w:i w:val="false"/>
          <w:iCs w:val="false"/>
          <w:color w:val="1A1A1A"/>
          <w:sz w:val="20"/>
          <w:szCs w:val="20"/>
        </w:rPr>
        <w:t xml:space="preserve">IDM does not assign a weld performance class to somebody else’s design.</w:t>
      </w:r>
      <w:r>
        <w:rPr>
          <w:rFonts w:ascii="Calibri" w:cs="Calibri" w:eastAsia="Calibri" w:hAnsi="Calibri"/>
          <w:b w:val="false"/>
          <w:bCs w:val="false"/>
          <w:i w:val="false"/>
          <w:iCs w:val="false"/>
          <w:color w:val="1A1A1A"/>
          <w:sz w:val="20"/>
          <w:szCs w:val="20"/>
        </w:rPr>
        <w:t xml:space="preserve"> Where a drawing arrives without the class designations, or with them illegible or ambiguous, contract review stops. The question goes back to the customer in writing, the query and the answer are filed in WMS-H-02, and the requirement is entered on the customer-specific requirements register (WMS-D-11). Welding does not start on the affected joints until the answer is in writing.</w:t>
      </w:r>
    </w:p>
    <w:p>
      <w:pPr>
        <w:spacing w:after="120" w:before="80" w:line="280"/>
      </w:pPr>
      <w:r>
        <w:rPr>
          <w:rFonts w:ascii="Calibri" w:cs="Calibri" w:eastAsia="Calibri" w:hAnsi="Calibri"/>
          <w:b w:val="false"/>
          <w:bCs w:val="false"/>
          <w:i w:val="false"/>
          <w:iCs w:val="false"/>
          <w:color w:val="1A1A1A"/>
          <w:sz w:val="20"/>
          <w:szCs w:val="20"/>
        </w:rPr>
        <w:t xml:space="preserve">That is not caution for its own sake. Assigning a performance class is a design act under BS EN 15085-3, and doing it on a customer’s drawing transfers design liability to IDM for a decision IDM has no basis to make.</w:t>
      </w:r>
    </w:p>
    <w:p>
      <w:pPr>
        <w:spacing w:after="140" w:before="320"/>
      </w:pPr>
      <w:r>
        <w:rPr>
          <w:rFonts w:ascii="Calibri" w:cs="Calibri" w:eastAsia="Calibri" w:hAnsi="Calibri"/>
          <w:b/>
          <w:bCs/>
          <w:i w:val="false"/>
          <w:iCs w:val="false"/>
          <w:color w:val="1F3864"/>
          <w:sz w:val="24"/>
          <w:szCs w:val="24"/>
        </w:rPr>
        <w:t xml:space="preserve">4.  Design responsibility — the decision IDM must make</w:t>
      </w:r>
    </w:p>
    <w:p>
      <w:pPr>
        <w:spacing w:after="120" w:before="80" w:line="280"/>
      </w:pPr>
      <w:r>
        <w:rPr>
          <w:rFonts w:ascii="Calibri" w:cs="Calibri" w:eastAsia="Calibri" w:hAnsi="Calibri"/>
          <w:b w:val="false"/>
          <w:bCs w:val="false"/>
          <w:i w:val="false"/>
          <w:iCs w:val="false"/>
          <w:color w:val="1A1A1A"/>
          <w:sz w:val="20"/>
          <w:szCs w:val="20"/>
        </w:rPr>
        <w:t xml:space="preserve">Three cases are possible. IDM currently operates case (a) and has not decided whether it will accept (b) or (c). Until it does, the scope of certification (WMS-A-02) cannot be completed and this record cannot be closed.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00"/>
        <w:gridCol w:w="2000"/>
        <w:gridCol w:w="1800"/>
        <w:gridCol w:w="3260"/>
      </w:tblGrid>
      <w:tr>
        <w:trPr>
          <w:tblHeader/>
        </w:trPr>
        <w:tc>
          <w:tcPr>
            <w:tcW w:type="dxa" w:w="230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Case</w:t>
            </w:r>
          </w:p>
        </w:tc>
        <w:tc>
          <w:tcPr>
            <w:tcW w:type="dxa" w:w="200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Design responsibility</w:t>
            </w:r>
          </w:p>
        </w:tc>
        <w:tc>
          <w:tcPr>
            <w:tcW w:type="dxa" w:w="180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Assigns the class</w:t>
            </w:r>
          </w:p>
        </w:tc>
        <w:tc>
          <w:tcPr>
            <w:tcW w:type="dxa" w:w="326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What IDM must then evidence</w:t>
            </w:r>
          </w:p>
        </w:tc>
      </w:tr>
      <w:tr>
        <w:tc>
          <w:tcPr>
            <w:tcW w:type="dxa" w:w="23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(a) Customer-designed</w:t>
            </w:r>
          </w:p>
        </w:tc>
        <w:tc>
          <w:tcPr>
            <w:tcW w:type="dxa" w:w="20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Customer</w:t>
            </w:r>
          </w:p>
        </w:tc>
        <w:tc>
          <w:tcPr>
            <w:tcW w:type="dxa" w:w="18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Customer, on the drawing</w:t>
            </w:r>
          </w:p>
        </w:tc>
        <w:tc>
          <w:tcPr>
            <w:tcW w:type="dxa" w:w="32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That contract review checked the classes are present, legible and on a released revision. Nothing further.</w:t>
            </w:r>
          </w:p>
        </w:tc>
      </w:tr>
      <w:tr>
        <w:tc>
          <w:tcPr>
            <w:tcW w:type="dxa" w:w="23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(b) IDM detail design to a customer performance specification</w:t>
            </w:r>
          </w:p>
        </w:tc>
        <w:tc>
          <w:tcPr>
            <w:tcW w:type="dxa" w:w="20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Shared</w:t>
            </w:r>
          </w:p>
        </w:tc>
        <w:tc>
          <w:tcPr>
            <w:tcW w:type="dxa" w:w="18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[TBC]</w:t>
            </w:r>
          </w:p>
        </w:tc>
        <w:tc>
          <w:tcPr>
            <w:tcW w:type="dxa" w:w="326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Competence of whoever assigns the class, under BS EN 15085-3, plus design review under QP05.</w:t>
            </w:r>
          </w:p>
        </w:tc>
      </w:tr>
      <w:tr>
        <w:tc>
          <w:tcPr>
            <w:tcW w:type="dxa" w:w="23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(c) IDM-designed welded assemblies</w:t>
            </w:r>
          </w:p>
        </w:tc>
        <w:tc>
          <w:tcPr>
            <w:tcW w:type="dxa" w:w="20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IDM</w:t>
            </w:r>
          </w:p>
        </w:tc>
        <w:tc>
          <w:tcPr>
            <w:tcW w:type="dxa" w:w="18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IDM</w:t>
            </w:r>
          </w:p>
        </w:tc>
        <w:tc>
          <w:tcPr>
            <w:tcW w:type="dxa" w:w="32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Full design competence under BS EN 15085-3, design review under QP05, and the scope of certification must say IDM designs.</w:t>
            </w:r>
          </w:p>
        </w:tc>
      </w:tr>
    </w:tbl>
    <w:p>
      <w:pPr>
        <w:spacing w:after="100" w:before="220"/>
      </w:pPr>
      <w:r>
        <w:rPr>
          <w:rFonts w:ascii="Calibri" w:cs="Calibri" w:eastAsia="Calibri" w:hAnsi="Calibri"/>
          <w:b/>
          <w:bCs/>
          <w:i w:val="false"/>
          <w:iCs w:val="false"/>
          <w:color w:val="1F3864"/>
          <w:sz w:val="21"/>
          <w:szCs w:val="21"/>
        </w:rPr>
        <w:t xml:space="preserve">CRGI recommendation</w:t>
      </w:r>
    </w:p>
    <w:p>
      <w:pPr>
        <w:spacing w:after="120" w:before="80" w:line="280"/>
      </w:pPr>
      <w:r>
        <w:rPr>
          <w:rFonts w:ascii="Calibri" w:cs="Calibri" w:eastAsia="Calibri" w:hAnsi="Calibri"/>
          <w:b/>
          <w:bCs/>
          <w:i w:val="false"/>
          <w:iCs w:val="false"/>
          <w:color w:val="1A1A1A"/>
          <w:sz w:val="20"/>
          <w:szCs w:val="20"/>
        </w:rPr>
        <w:t xml:space="preserve">Declare case (c) out of scope for Phase 1 and operate case (a) only.</w:t>
      </w:r>
      <w:r>
        <w:rPr>
          <w:rFonts w:ascii="Calibri" w:cs="Calibri" w:eastAsia="Calibri" w:hAnsi="Calibri"/>
          <w:b w:val="false"/>
          <w:bCs w:val="false"/>
          <w:i w:val="false"/>
          <w:iCs w:val="false"/>
          <w:color w:val="1A1A1A"/>
          <w:sz w:val="20"/>
          <w:szCs w:val="20"/>
        </w:rPr>
        <w:t xml:space="preserve"> Nobody at IDM currently evidences the competence to assign weld performance classes under BS EN 15085-3; the Responsible Welding Coordinator is external and is not contracted for design; and the customer on the only rail work in hand already assigns the classes. Taking design responsibility on would widen the certification scope, add a competence requirement IDM would have to fill, and put a design review under QP05 into every rail job — for no work IDM is currently being asked to do.</w:t>
      </w:r>
    </w:p>
    <w:p>
      <w:pPr>
        <w:spacing w:after="120" w:before="80" w:line="280"/>
      </w:pPr>
      <w:r>
        <w:rPr>
          <w:rFonts w:ascii="Calibri" w:cs="Calibri" w:eastAsia="Calibri" w:hAnsi="Calibri"/>
          <w:b w:val="false"/>
          <w:bCs w:val="false"/>
          <w:i w:val="false"/>
          <w:iCs w:val="false"/>
          <w:color w:val="1A1A1A"/>
          <w:sz w:val="20"/>
          <w:szCs w:val="20"/>
        </w:rPr>
        <w:t xml:space="preserve">If IDM intends to quote for designed assemblies later, that is a Phase 2 decision with a cost attached, and it should be taken deliberately rather than inherited by accepting a drawing package that turns out to be a performance specification. [TBC — IDM to confirm]</w:t>
      </w:r>
    </w:p>
    <w:p>
      <w:pPr>
        <w:spacing w:after="140" w:before="320"/>
      </w:pPr>
      <w:r>
        <w:rPr>
          <w:rFonts w:ascii="Calibri" w:cs="Calibri" w:eastAsia="Calibri" w:hAnsi="Calibri"/>
          <w:b/>
          <w:bCs/>
          <w:i w:val="false"/>
          <w:iCs w:val="false"/>
          <w:color w:val="1F3864"/>
          <w:sz w:val="24"/>
          <w:szCs w:val="24"/>
        </w:rPr>
        <w:t xml:space="preserve">5.  How this is operated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8060"/>
      </w:tblGrid>
      <w:tr>
        <w:trPr>
          <w:tblHeader/>
        </w:trPr>
        <w:tc>
          <w:tcPr>
            <w:tcW w:type="dxa" w:w="130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Step</w:t>
            </w:r>
          </w:p>
        </w:tc>
        <w:tc>
          <w:tcPr>
            <w:tcW w:type="dxa" w:w="806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Action</w:t>
            </w:r>
          </w:p>
        </w:tc>
      </w:tr>
      <w:tr>
        <w:tc>
          <w:tcPr>
            <w:tcW w:type="dxa" w:w="13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1</w:t>
            </w:r>
          </w:p>
        </w:tc>
        <w:tc>
          <w:tcPr>
            <w:tcW w:type="dxa" w:w="80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At enquiry, contract and technical review (WMS-E-01) checks the drawing against Section 2 above.</w:t>
            </w:r>
          </w:p>
        </w:tc>
      </w:tr>
      <w:tr>
        <w:tc>
          <w:tcPr>
            <w:tcW w:type="dxa" w:w="13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2</w:t>
            </w:r>
          </w:p>
        </w:tc>
        <w:tc>
          <w:tcPr>
            <w:tcW w:type="dxa" w:w="806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Anything missing goes back to the customer in writing before acceptance (Section 3).</w:t>
            </w:r>
          </w:p>
        </w:tc>
      </w:tr>
      <w:tr>
        <w:tc>
          <w:tcPr>
            <w:tcW w:type="dxa" w:w="13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3</w:t>
            </w:r>
          </w:p>
        </w:tc>
        <w:tc>
          <w:tcPr>
            <w:tcW w:type="dxa" w:w="80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At job planning, the Welding Coordinator produces the weld map (WMS-E-02) linking each joint to its WPS and welder, using the coverage matrix (WMS-C-10) and the welder qualification register (WMS-D-03).</w:t>
            </w:r>
          </w:p>
        </w:tc>
      </w:tr>
      <w:tr>
        <w:tc>
          <w:tcPr>
            <w:tcW w:type="dxa" w:w="13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4</w:t>
            </w:r>
          </w:p>
        </w:tc>
        <w:tc>
          <w:tcPr>
            <w:tcW w:type="dxa" w:w="806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The inspection class on the drawing sets the inspection and test plan for the job.</w:t>
            </w:r>
          </w:p>
        </w:tc>
      </w:tr>
      <w:tr>
        <w:tc>
          <w:tcPr>
            <w:tcW w:type="dxa" w:w="13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5</w:t>
            </w:r>
          </w:p>
        </w:tc>
        <w:tc>
          <w:tcPr>
            <w:tcW w:type="dxa" w:w="80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Production and inspection records are retained per WMS-G-05.</w:t>
            </w:r>
          </w:p>
        </w:tc>
      </w:tr>
    </w:tbl>
    <w:p>
      <w:pPr>
        <w:spacing w:after="140" w:before="320"/>
      </w:pPr>
      <w:r>
        <w:rPr>
          <w:rFonts w:ascii="Calibri" w:cs="Calibri" w:eastAsia="Calibri" w:hAnsi="Calibri"/>
          <w:b/>
          <w:bCs/>
          <w:i w:val="false"/>
          <w:iCs w:val="false"/>
          <w:color w:val="1F3864"/>
          <w:sz w:val="24"/>
          <w:szCs w:val="24"/>
        </w:rPr>
        <w:t xml:space="preserve">6.  Approval</w:t>
      </w:r>
    </w:p>
    <w:p>
      <w:pPr>
        <w:spacing w:after="120" w:before="80" w:line="280"/>
      </w:pPr>
      <w:r>
        <w:rPr>
          <w:rFonts w:ascii="Calibri" w:cs="Calibri" w:eastAsia="Calibri" w:hAnsi="Calibri"/>
          <w:b w:val="false"/>
          <w:bCs w:val="false"/>
          <w:i w:val="false"/>
          <w:iCs w:val="false"/>
          <w:color w:val="1A1A1A"/>
          <w:sz w:val="20"/>
          <w:szCs w:val="20"/>
        </w:rPr>
        <w:t xml:space="preserve">This record is not in force until signed. The design responsibility decision in Section 4 is IDM’s to make; the Responsible Welding Coordinator’s signature confirms the technical content.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600"/>
        <w:gridCol w:w="2600"/>
        <w:gridCol w:w="2200"/>
        <w:gridCol w:w="1960"/>
      </w:tblGrid>
      <w:tr>
        <w:trPr>
          <w:tblHeader/>
        </w:trPr>
        <w:tc>
          <w:tcPr>
            <w:tcW w:type="dxa" w:w="260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Role</w:t>
            </w:r>
          </w:p>
        </w:tc>
        <w:tc>
          <w:tcPr>
            <w:tcW w:type="dxa" w:w="260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Name</w:t>
            </w:r>
          </w:p>
        </w:tc>
        <w:tc>
          <w:tcPr>
            <w:tcW w:type="dxa" w:w="220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Signature</w:t>
            </w:r>
          </w:p>
        </w:tc>
        <w:tc>
          <w:tcPr>
            <w:tcW w:type="dxa" w:w="1960"/>
            <w:tcBorders>
              <w:top w:val="single" w:color="B8C4D9" w:sz="4"/>
              <w:left w:val="single" w:color="B8C4D9" w:sz="4"/>
              <w:bottom w:val="single" w:color="B8C4D9" w:sz="4"/>
              <w:right w:val="single" w:color="B8C4D9" w:sz="4"/>
            </w:tcBorders>
            <w:shd w:fill="1F3864"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FFFFFF"/>
                <w:sz w:val="18"/>
                <w:szCs w:val="18"/>
              </w:rPr>
              <w:t xml:space="preserve">Date</w:t>
            </w:r>
          </w:p>
        </w:tc>
      </w:tr>
      <w:tr>
        <w:tc>
          <w:tcPr>
            <w:tcW w:type="dxa" w:w="26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Prepared by (CRGI)</w:t>
            </w:r>
          </w:p>
        </w:tc>
        <w:tc>
          <w:tcPr>
            <w:tcW w:type="dxa" w:w="26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
            </w:r>
          </w:p>
        </w:tc>
        <w:tc>
          <w:tcPr>
            <w:tcW w:type="dxa" w:w="22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 </w:t>
            </w:r>
          </w:p>
        </w:tc>
        <w:tc>
          <w:tcPr>
            <w:tcW w:type="dxa" w:w="19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 </w:t>
            </w:r>
          </w:p>
        </w:tc>
      </w:tr>
      <w:tr>
        <w:tc>
          <w:tcPr>
            <w:tcW w:type="dxa" w:w="26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Responsible Welding Coordinator</w:t>
            </w:r>
          </w:p>
        </w:tc>
        <w:tc>
          <w:tcPr>
            <w:tcW w:type="dxa" w:w="26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
            </w:r>
          </w:p>
        </w:tc>
        <w:tc>
          <w:tcPr>
            <w:tcW w:type="dxa" w:w="220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 </w:t>
            </w:r>
          </w:p>
        </w:tc>
        <w:tc>
          <w:tcPr>
            <w:tcW w:type="dxa" w:w="1960"/>
            <w:tcBorders>
              <w:top w:val="single" w:color="B8C4D9" w:sz="4"/>
              <w:left w:val="single" w:color="B8C4D9" w:sz="4"/>
              <w:bottom w:val="single" w:color="B8C4D9" w:sz="4"/>
              <w:right w:val="single" w:color="B8C4D9" w:sz="4"/>
            </w:tcBorders>
            <w:shd w:fill="EEF3FA"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 </w:t>
            </w:r>
          </w:p>
        </w:tc>
      </w:tr>
      <w:tr>
        <w:tc>
          <w:tcPr>
            <w:tcW w:type="dxa" w:w="26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bCs/>
                <w:i w:val="false"/>
                <w:iCs w:val="false"/>
                <w:color w:val="1A1A1A"/>
                <w:sz w:val="18"/>
                <w:szCs w:val="18"/>
              </w:rPr>
              <w:t xml:space="preserve">General Manager (IDM)</w:t>
            </w:r>
          </w:p>
        </w:tc>
        <w:tc>
          <w:tcPr>
            <w:tcW w:type="dxa" w:w="26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
            </w:r>
          </w:p>
        </w:tc>
        <w:tc>
          <w:tcPr>
            <w:tcW w:type="dxa" w:w="220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 </w:t>
            </w:r>
          </w:p>
        </w:tc>
        <w:tc>
          <w:tcPr>
            <w:tcW w:type="dxa" w:w="1960"/>
            <w:tcBorders>
              <w:top w:val="single" w:color="B8C4D9" w:sz="4"/>
              <w:left w:val="single" w:color="B8C4D9" w:sz="4"/>
              <w:bottom w:val="single" w:color="B8C4D9" w:sz="4"/>
              <w:right w:val="single" w:color="B8C4D9" w:sz="4"/>
            </w:tcBorders>
            <w:shd w:fill="FFFFFF" w:color="auto" w:val="clear"/>
            <w:tcMar>
              <w:top w:type="dxa" w:w="70"/>
              <w:left w:type="dxa" w:w="110"/>
              <w:bottom w:type="dxa" w:w="70"/>
              <w:right w:type="dxa" w:w="110"/>
            </w:tcMar>
          </w:tcPr>
          <w:p>
            <w:pPr>
              <w:spacing w:after="20" w:before="20" w:line="260"/>
            </w:pPr>
            <w:r>
              <w:rPr>
                <w:rFonts w:ascii="Calibri" w:cs="Calibri" w:eastAsia="Calibri" w:hAnsi="Calibri"/>
                <w:b w:val="false"/>
                <w:bCs w:val="false"/>
                <w:i w:val="false"/>
                <w:iCs w:val="false"/>
                <w:color w:val="1A1A1A"/>
                <w:sz w:val="18"/>
                <w:szCs w:val="18"/>
              </w:rPr>
              <w:t xml:space="preserve"> </w:t>
            </w:r>
          </w:p>
        </w:tc>
      </w:tr>
    </w:tbl>
    <w:p>
      <w:pPr>
        <w:spacing w:after="120" w:before="320" w:line="280"/>
      </w:pPr>
      <w:r>
        <w:rPr>
          <w:rFonts w:ascii="Calibri" w:cs="Calibri" w:eastAsia="Calibri" w:hAnsi="Calibri"/>
          <w:b w:val="false"/>
          <w:bCs w:val="false"/>
          <w:i w:val="false"/>
          <w:iCs w:val="false"/>
          <w:color w:val="6A6A6A"/>
          <w:sz w:val="16"/>
          <w:szCs w:val="16"/>
        </w:rPr>
        <w:t xml:space="preserve">CRGI Solutions Ltd  ·  20 September 2026  ·  Rev 0 DRAFT</w:t>
      </w:r>
    </w:p>
    <w:sectPr>
      <w:pgSz w:w="11906" w:h="16838" w:orient="portrait"/>
      <w:pgMar w:top="900" w:right="1000" w:bottom="9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2026-09-20T15:05:01.309Z</dcterms:created>
  <dcterms:modified xsi:type="dcterms:W3CDTF">2026-09-20T15:05:01.310Z</dcterms:modified>
</cp:coreProperties>
</file>

<file path=docProps/custom.xml><?xml version="1.0" encoding="utf-8"?>
<Properties xmlns="http://schemas.openxmlformats.org/officeDocument/2006/custom-properties" xmlns:vt="http://schemas.openxmlformats.org/officeDocument/2006/docPropsVTypes"/>
</file>